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448E" w:rsidP="0062464A" w:rsidRDefault="001B448E" w14:paraId="4A315482" w14:textId="77777777">
      <w:pPr>
        <w:rPr>
          <w:rFonts w:ascii="Arial" w:hAnsi="Arial" w:cs="Arial"/>
        </w:rPr>
      </w:pPr>
    </w:p>
    <w:p w:rsidR="001B448E" w:rsidP="0062464A" w:rsidRDefault="001B448E" w14:paraId="1A126B17" w14:textId="77777777">
      <w:pPr>
        <w:rPr>
          <w:rFonts w:ascii="Arial" w:hAnsi="Arial" w:cs="Arial"/>
        </w:rPr>
      </w:pPr>
    </w:p>
    <w:p w:rsidR="007E0714" w:rsidP="000E164F" w:rsidRDefault="00DC62DE" w14:paraId="561C942D" w14:textId="32BDBA3F">
      <w:pPr>
        <w:jc w:val="center"/>
        <w:rPr>
          <w:rFonts w:ascii="Arial" w:hAnsi="Arial" w:cs="Arial"/>
          <w:b/>
          <w:bCs/>
          <w:color w:val="4F81BD" w:themeColor="accent1"/>
          <w:sz w:val="28"/>
          <w:szCs w:val="28"/>
        </w:rPr>
      </w:pPr>
      <w:r w:rsidRPr="005058E9">
        <w:rPr>
          <w:rFonts w:ascii="Arial" w:hAnsi="Arial" w:cs="Arial"/>
          <w:b/>
          <w:bCs/>
          <w:color w:val="4F81BD" w:themeColor="accent1"/>
          <w:sz w:val="28"/>
          <w:szCs w:val="28"/>
        </w:rPr>
        <w:t>Exceptional Cases and</w:t>
      </w:r>
      <w:r w:rsidRPr="005058E9" w:rsidR="00F06CA9">
        <w:rPr>
          <w:rFonts w:ascii="Arial" w:hAnsi="Arial" w:cs="Arial"/>
          <w:b/>
          <w:bCs/>
          <w:color w:val="4F81BD" w:themeColor="accent1"/>
          <w:sz w:val="28"/>
          <w:szCs w:val="28"/>
        </w:rPr>
        <w:t xml:space="preserve"> Individual Funding Request</w:t>
      </w:r>
      <w:r w:rsidR="000E164F">
        <w:rPr>
          <w:rFonts w:ascii="Arial" w:hAnsi="Arial" w:cs="Arial"/>
          <w:b/>
          <w:bCs/>
          <w:color w:val="4F81BD" w:themeColor="accent1"/>
          <w:sz w:val="28"/>
          <w:szCs w:val="28"/>
        </w:rPr>
        <w:t xml:space="preserve"> (IFR) Policy</w:t>
      </w:r>
    </w:p>
    <w:p w:rsidR="000E164F" w:rsidP="0062464A" w:rsidRDefault="000E164F" w14:paraId="6A01195E" w14:textId="77777777">
      <w:pPr>
        <w:rPr>
          <w:rFonts w:ascii="Arial" w:hAnsi="Arial" w:cs="Arial"/>
          <w:b/>
          <w:bCs/>
          <w:color w:val="4F81BD" w:themeColor="accent1"/>
          <w:sz w:val="28"/>
          <w:szCs w:val="28"/>
        </w:rPr>
      </w:pPr>
    </w:p>
    <w:p w:rsidR="000E164F" w:rsidP="0062464A" w:rsidRDefault="000E164F" w14:paraId="6D816007" w14:textId="77777777">
      <w:pPr>
        <w:rPr>
          <w:rFonts w:ascii="Arial" w:hAnsi="Arial" w:cs="Arial"/>
          <w:b/>
          <w:bCs/>
          <w:color w:val="4F81BD" w:themeColor="accent1"/>
          <w:sz w:val="28"/>
          <w:szCs w:val="28"/>
        </w:rPr>
      </w:pPr>
    </w:p>
    <w:p w:rsidR="00954D2A" w:rsidP="0062464A" w:rsidRDefault="00954D2A" w14:paraId="733A30D0" w14:textId="77777777">
      <w:pPr>
        <w:rPr>
          <w:rFonts w:ascii="Arial" w:hAnsi="Arial" w:cs="Arial"/>
          <w:color w:val="4F81BD" w:themeColor="accent1"/>
          <w:sz w:val="20"/>
          <w:szCs w:val="20"/>
        </w:rPr>
      </w:pPr>
      <w:r w:rsidRPr="00954D2A">
        <w:rPr>
          <w:rFonts w:ascii="Arial" w:hAnsi="Arial" w:cs="Arial"/>
          <w:color w:val="4F81BD" w:themeColor="accent1"/>
          <w:sz w:val="20"/>
          <w:szCs w:val="20"/>
        </w:rPr>
        <w:t xml:space="preserve">DOCUMENT CONTROL </w:t>
      </w:r>
    </w:p>
    <w:p w:rsidR="00954D2A" w:rsidP="0062464A" w:rsidRDefault="00954D2A" w14:paraId="301D9936" w14:textId="5322A5A9">
      <w:pPr>
        <w:rPr>
          <w:rFonts w:ascii="Arial" w:hAnsi="Arial" w:cs="Arial"/>
          <w:i/>
          <w:iCs/>
          <w:sz w:val="20"/>
          <w:szCs w:val="20"/>
        </w:rPr>
      </w:pPr>
      <w:r w:rsidRPr="00954D2A">
        <w:rPr>
          <w:rFonts w:ascii="Arial" w:hAnsi="Arial" w:cs="Arial"/>
          <w:i/>
          <w:iCs/>
          <w:sz w:val="20"/>
          <w:szCs w:val="20"/>
        </w:rPr>
        <w:t xml:space="preserve">This is a controlled document. Whilst this document may </w:t>
      </w:r>
      <w:proofErr w:type="gramStart"/>
      <w:r w:rsidRPr="00954D2A">
        <w:rPr>
          <w:rFonts w:ascii="Arial" w:hAnsi="Arial" w:cs="Arial"/>
          <w:i/>
          <w:iCs/>
          <w:sz w:val="20"/>
          <w:szCs w:val="20"/>
        </w:rPr>
        <w:t>be printed</w:t>
      </w:r>
      <w:proofErr w:type="gramEnd"/>
      <w:r w:rsidRPr="00954D2A">
        <w:rPr>
          <w:rFonts w:ascii="Arial" w:hAnsi="Arial" w:cs="Arial"/>
          <w:i/>
          <w:iCs/>
          <w:sz w:val="20"/>
          <w:szCs w:val="20"/>
        </w:rPr>
        <w:t xml:space="preserve">, the electronic version posted on the intranet is the controlled copy. Any printed copies of this document </w:t>
      </w:r>
      <w:proofErr w:type="gramStart"/>
      <w:r w:rsidRPr="00954D2A">
        <w:rPr>
          <w:rFonts w:ascii="Arial" w:hAnsi="Arial" w:cs="Arial"/>
          <w:i/>
          <w:iCs/>
          <w:sz w:val="20"/>
          <w:szCs w:val="20"/>
        </w:rPr>
        <w:t>are not controlled</w:t>
      </w:r>
      <w:proofErr w:type="gramEnd"/>
      <w:r w:rsidRPr="00954D2A">
        <w:rPr>
          <w:rFonts w:ascii="Arial" w:hAnsi="Arial" w:cs="Arial"/>
          <w:i/>
          <w:iCs/>
          <w:sz w:val="20"/>
          <w:szCs w:val="20"/>
        </w:rPr>
        <w:t xml:space="preserve">. As a controlled document, this document should not </w:t>
      </w:r>
      <w:proofErr w:type="gramStart"/>
      <w:r w:rsidRPr="00954D2A">
        <w:rPr>
          <w:rFonts w:ascii="Arial" w:hAnsi="Arial" w:cs="Arial"/>
          <w:i/>
          <w:iCs/>
          <w:sz w:val="20"/>
          <w:szCs w:val="20"/>
        </w:rPr>
        <w:t>be saved</w:t>
      </w:r>
      <w:proofErr w:type="gramEnd"/>
      <w:r w:rsidRPr="00954D2A">
        <w:rPr>
          <w:rFonts w:ascii="Arial" w:hAnsi="Arial" w:cs="Arial"/>
          <w:i/>
          <w:iCs/>
          <w:sz w:val="20"/>
          <w:szCs w:val="20"/>
        </w:rPr>
        <w:t xml:space="preserve"> onto local or network drives but should always be accessed from the website. </w:t>
      </w:r>
    </w:p>
    <w:p w:rsidR="000E164F" w:rsidP="0062464A" w:rsidRDefault="00954D2A" w14:paraId="22D694B1" w14:textId="1B093D54">
      <w:pPr>
        <w:rPr>
          <w:rFonts w:ascii="Arial" w:hAnsi="Arial" w:cs="Arial"/>
          <w:i/>
          <w:iCs/>
          <w:sz w:val="20"/>
          <w:szCs w:val="20"/>
        </w:rPr>
      </w:pPr>
      <w:r w:rsidRPr="00954D2A">
        <w:rPr>
          <w:rFonts w:ascii="Arial" w:hAnsi="Arial" w:cs="Arial"/>
          <w:i/>
          <w:iCs/>
          <w:sz w:val="20"/>
          <w:szCs w:val="20"/>
        </w:rPr>
        <w:t xml:space="preserve">Do you really need to print this document? Please consider the environment before you print this document and where </w:t>
      </w:r>
      <w:proofErr w:type="gramStart"/>
      <w:r w:rsidR="004A7F14">
        <w:rPr>
          <w:rFonts w:ascii="Arial" w:hAnsi="Arial" w:cs="Arial"/>
          <w:i/>
          <w:iCs/>
          <w:sz w:val="20"/>
          <w:szCs w:val="20"/>
        </w:rPr>
        <w:t xml:space="preserve">possible </w:t>
      </w:r>
      <w:r w:rsidRPr="00954D2A">
        <w:rPr>
          <w:rFonts w:ascii="Arial" w:hAnsi="Arial" w:cs="Arial"/>
          <w:i/>
          <w:iCs/>
          <w:sz w:val="20"/>
          <w:szCs w:val="20"/>
        </w:rPr>
        <w:t>copies</w:t>
      </w:r>
      <w:proofErr w:type="gramEnd"/>
      <w:r w:rsidRPr="00954D2A">
        <w:rPr>
          <w:rFonts w:ascii="Arial" w:hAnsi="Arial" w:cs="Arial"/>
          <w:i/>
          <w:iCs/>
          <w:sz w:val="20"/>
          <w:szCs w:val="20"/>
        </w:rPr>
        <w:t xml:space="preserve"> should be printed double-sided. Please also consider setting the Page Range in the Print properties, when relevant to do so, to avoid printing the policy in its entirety</w:t>
      </w:r>
    </w:p>
    <w:p w:rsidR="00504BE7" w:rsidP="0062464A" w:rsidRDefault="00504BE7" w14:paraId="1034574D" w14:textId="77777777">
      <w:pPr>
        <w:rPr>
          <w:rFonts w:ascii="Arial" w:hAnsi="Arial" w:cs="Arial"/>
          <w:b/>
          <w:bCs/>
          <w:i/>
          <w:iCs/>
          <w:color w:val="4F81BD" w:themeColor="accent1"/>
          <w:sz w:val="20"/>
          <w:szCs w:val="20"/>
        </w:rPr>
      </w:pPr>
    </w:p>
    <w:p w:rsidRPr="00954D2A" w:rsidR="00504BE7" w:rsidP="0062464A" w:rsidRDefault="00504BE7" w14:paraId="52BAC089" w14:textId="77777777">
      <w:pPr>
        <w:rPr>
          <w:rFonts w:ascii="Arial" w:hAnsi="Arial" w:cs="Arial"/>
          <w:b/>
          <w:bCs/>
          <w:i/>
          <w:iCs/>
          <w:color w:val="4F81BD" w:themeColor="accent1"/>
          <w:sz w:val="20"/>
          <w:szCs w:val="20"/>
        </w:rPr>
      </w:pPr>
    </w:p>
    <w:tbl>
      <w:tblPr>
        <w:tblStyle w:val="TableGrid"/>
        <w:tblW w:w="0" w:type="auto"/>
        <w:tblLook w:val="04A0" w:firstRow="1" w:lastRow="0" w:firstColumn="1" w:lastColumn="0" w:noHBand="0" w:noVBand="1"/>
      </w:tblPr>
      <w:tblGrid>
        <w:gridCol w:w="2263"/>
        <w:gridCol w:w="7807"/>
      </w:tblGrid>
      <w:tr w:rsidRPr="006A7183" w:rsidR="007E0714" w:rsidTr="003653E4" w14:paraId="124933EC" w14:textId="77777777">
        <w:tc>
          <w:tcPr>
            <w:tcW w:w="2263" w:type="dxa"/>
          </w:tcPr>
          <w:p w:rsidRPr="006A7183" w:rsidR="007E0714" w:rsidP="0062464A" w:rsidRDefault="007E0714" w14:paraId="4085E7D9" w14:textId="3997DE4E">
            <w:pPr>
              <w:rPr>
                <w:rFonts w:ascii="Arial" w:hAnsi="Arial" w:cs="Arial"/>
                <w:b/>
                <w:bCs/>
                <w:color w:val="4F81BD" w:themeColor="accent1"/>
              </w:rPr>
            </w:pPr>
            <w:r w:rsidRPr="006A7183">
              <w:rPr>
                <w:rFonts w:ascii="Arial" w:hAnsi="Arial" w:cs="Arial"/>
                <w:b/>
                <w:bCs/>
                <w:color w:val="4F81BD" w:themeColor="accent1"/>
              </w:rPr>
              <w:t>Document Owner</w:t>
            </w:r>
          </w:p>
        </w:tc>
        <w:tc>
          <w:tcPr>
            <w:tcW w:w="7807" w:type="dxa"/>
          </w:tcPr>
          <w:p w:rsidRPr="006A7183" w:rsidR="007E0714" w:rsidP="0062464A" w:rsidRDefault="009F74DD" w14:paraId="6C1C3C7B" w14:textId="1A7D6F96">
            <w:pPr>
              <w:rPr>
                <w:rFonts w:ascii="Arial" w:hAnsi="Arial" w:cs="Arial"/>
              </w:rPr>
            </w:pPr>
            <w:r>
              <w:rPr>
                <w:rFonts w:ascii="Arial" w:hAnsi="Arial" w:cs="Arial"/>
              </w:rPr>
              <w:t>Dr Fiona Head – Medical Director</w:t>
            </w:r>
          </w:p>
        </w:tc>
      </w:tr>
      <w:tr w:rsidRPr="006A7183" w:rsidR="007E0714" w:rsidTr="003653E4" w14:paraId="3E896AF5" w14:textId="77777777">
        <w:tc>
          <w:tcPr>
            <w:tcW w:w="2263" w:type="dxa"/>
          </w:tcPr>
          <w:p w:rsidRPr="006A7183" w:rsidR="007E0714" w:rsidP="0062464A" w:rsidRDefault="007E0714" w14:paraId="1D599451" w14:textId="0EE79A75">
            <w:pPr>
              <w:rPr>
                <w:rFonts w:ascii="Arial" w:hAnsi="Arial" w:cs="Arial"/>
                <w:b/>
                <w:bCs/>
                <w:color w:val="4F81BD" w:themeColor="accent1"/>
              </w:rPr>
            </w:pPr>
            <w:r w:rsidRPr="006A7183">
              <w:rPr>
                <w:rFonts w:ascii="Arial" w:hAnsi="Arial" w:cs="Arial"/>
                <w:b/>
                <w:bCs/>
                <w:color w:val="4F81BD" w:themeColor="accent1"/>
              </w:rPr>
              <w:t>Document A</w:t>
            </w:r>
            <w:r w:rsidRPr="006A7183" w:rsidR="00835593">
              <w:rPr>
                <w:rFonts w:ascii="Arial" w:hAnsi="Arial" w:cs="Arial"/>
                <w:b/>
                <w:bCs/>
                <w:color w:val="4F81BD" w:themeColor="accent1"/>
              </w:rPr>
              <w:t>u</w:t>
            </w:r>
            <w:r w:rsidRPr="006A7183">
              <w:rPr>
                <w:rFonts w:ascii="Arial" w:hAnsi="Arial" w:cs="Arial"/>
                <w:b/>
                <w:bCs/>
                <w:color w:val="4F81BD" w:themeColor="accent1"/>
              </w:rPr>
              <w:t>thor</w:t>
            </w:r>
            <w:r w:rsidRPr="006A7183" w:rsidR="00835593">
              <w:rPr>
                <w:rFonts w:ascii="Arial" w:hAnsi="Arial" w:cs="Arial"/>
                <w:b/>
                <w:bCs/>
                <w:color w:val="4F81BD" w:themeColor="accent1"/>
              </w:rPr>
              <w:t>(s)</w:t>
            </w:r>
          </w:p>
        </w:tc>
        <w:tc>
          <w:tcPr>
            <w:tcW w:w="7807" w:type="dxa"/>
          </w:tcPr>
          <w:p w:rsidR="007E0714" w:rsidP="0062464A" w:rsidRDefault="009F74DD" w14:paraId="196EB8EE" w14:textId="77777777">
            <w:pPr>
              <w:rPr>
                <w:rFonts w:ascii="Arial" w:hAnsi="Arial" w:cs="Arial"/>
              </w:rPr>
            </w:pPr>
            <w:r>
              <w:rPr>
                <w:rFonts w:ascii="Arial" w:hAnsi="Arial" w:cs="Arial"/>
              </w:rPr>
              <w:t>Jo Oliver RN – Clinical Decisions Lead</w:t>
            </w:r>
          </w:p>
          <w:p w:rsidRPr="006A7183" w:rsidR="009F74DD" w:rsidP="0062464A" w:rsidRDefault="009F74DD" w14:paraId="109BA804" w14:textId="6986FB0A">
            <w:pPr>
              <w:rPr>
                <w:rFonts w:ascii="Arial" w:hAnsi="Arial" w:cs="Arial"/>
              </w:rPr>
            </w:pPr>
            <w:r>
              <w:rPr>
                <w:rFonts w:ascii="Arial" w:hAnsi="Arial" w:cs="Arial"/>
              </w:rPr>
              <w:t>Dr Samantha Chepkin</w:t>
            </w:r>
            <w:r w:rsidR="00365F65">
              <w:rPr>
                <w:rFonts w:ascii="Arial" w:hAnsi="Arial" w:cs="Arial"/>
              </w:rPr>
              <w:t xml:space="preserve"> – Associate </w:t>
            </w:r>
            <w:r w:rsidR="004A7F14">
              <w:rPr>
                <w:rFonts w:ascii="Arial" w:hAnsi="Arial" w:cs="Arial"/>
              </w:rPr>
              <w:t>M</w:t>
            </w:r>
            <w:r w:rsidR="00365F65">
              <w:rPr>
                <w:rFonts w:ascii="Arial" w:hAnsi="Arial" w:cs="Arial"/>
              </w:rPr>
              <w:t xml:space="preserve">edical Director for </w:t>
            </w:r>
            <w:r w:rsidRPr="00365F65" w:rsidR="00365F65">
              <w:rPr>
                <w:rFonts w:ascii="Arial" w:hAnsi="Arial" w:cs="Arial"/>
              </w:rPr>
              <w:t>Prioritisation and Consultant in Public Health Medicine</w:t>
            </w:r>
          </w:p>
        </w:tc>
      </w:tr>
      <w:tr w:rsidRPr="006A7183" w:rsidR="007E0714" w:rsidTr="003653E4" w14:paraId="4B03EFDD" w14:textId="77777777">
        <w:tc>
          <w:tcPr>
            <w:tcW w:w="2263" w:type="dxa"/>
          </w:tcPr>
          <w:p w:rsidRPr="006A7183" w:rsidR="007E0714" w:rsidP="0062464A" w:rsidRDefault="00835593" w14:paraId="38D91A1D" w14:textId="23996AA3">
            <w:pPr>
              <w:rPr>
                <w:rFonts w:ascii="Arial" w:hAnsi="Arial" w:cs="Arial"/>
                <w:b/>
                <w:bCs/>
                <w:color w:val="4F81BD" w:themeColor="accent1"/>
              </w:rPr>
            </w:pPr>
            <w:r w:rsidRPr="006A7183">
              <w:rPr>
                <w:rFonts w:ascii="Arial" w:hAnsi="Arial" w:cs="Arial"/>
                <w:b/>
                <w:bCs/>
                <w:color w:val="4F81BD" w:themeColor="accent1"/>
              </w:rPr>
              <w:t>Version</w:t>
            </w:r>
          </w:p>
        </w:tc>
        <w:tc>
          <w:tcPr>
            <w:tcW w:w="7807" w:type="dxa"/>
          </w:tcPr>
          <w:p w:rsidRPr="006A7183" w:rsidR="007E0714" w:rsidP="0062464A" w:rsidRDefault="00365F65" w14:paraId="7BCB8D98" w14:textId="1E7D1733">
            <w:pPr>
              <w:rPr>
                <w:rFonts w:ascii="Arial" w:hAnsi="Arial" w:cs="Arial"/>
              </w:rPr>
            </w:pPr>
            <w:r>
              <w:rPr>
                <w:rFonts w:ascii="Arial" w:hAnsi="Arial" w:cs="Arial"/>
              </w:rPr>
              <w:t>1.0</w:t>
            </w:r>
          </w:p>
        </w:tc>
      </w:tr>
      <w:tr w:rsidRPr="006A7183" w:rsidR="007E0714" w:rsidTr="003653E4" w14:paraId="5A4534D4" w14:textId="77777777">
        <w:tc>
          <w:tcPr>
            <w:tcW w:w="2263" w:type="dxa"/>
          </w:tcPr>
          <w:p w:rsidRPr="006A7183" w:rsidR="007E0714" w:rsidP="0062464A" w:rsidRDefault="00835593" w14:paraId="7115BDA2" w14:textId="2DE00D4C">
            <w:pPr>
              <w:rPr>
                <w:rFonts w:ascii="Arial" w:hAnsi="Arial" w:cs="Arial"/>
                <w:b/>
                <w:bCs/>
                <w:color w:val="4F81BD" w:themeColor="accent1"/>
              </w:rPr>
            </w:pPr>
            <w:r w:rsidRPr="006A7183">
              <w:rPr>
                <w:rFonts w:ascii="Arial" w:hAnsi="Arial" w:cs="Arial"/>
                <w:b/>
                <w:bCs/>
                <w:color w:val="4F81BD" w:themeColor="accent1"/>
              </w:rPr>
              <w:t>Approved By</w:t>
            </w:r>
          </w:p>
        </w:tc>
        <w:tc>
          <w:tcPr>
            <w:tcW w:w="7807" w:type="dxa"/>
          </w:tcPr>
          <w:p w:rsidRPr="006A7183" w:rsidR="007E0714" w:rsidP="0062464A" w:rsidRDefault="000F1E0D" w14:paraId="6A18F393" w14:textId="62CF5A2F">
            <w:pPr>
              <w:rPr>
                <w:rFonts w:ascii="Arial" w:hAnsi="Arial" w:cs="Arial"/>
              </w:rPr>
            </w:pPr>
            <w:r w:rsidRPr="6F87A5EE">
              <w:rPr>
                <w:rFonts w:ascii="Arial" w:hAnsi="Arial" w:cs="Arial"/>
              </w:rPr>
              <w:t>Central East ICB Utilisation Management &amp; Quality Improvement Committee</w:t>
            </w:r>
          </w:p>
        </w:tc>
      </w:tr>
      <w:tr w:rsidRPr="006A7183" w:rsidR="007E0714" w:rsidTr="003653E4" w14:paraId="5E2616E0" w14:textId="77777777">
        <w:tc>
          <w:tcPr>
            <w:tcW w:w="2263" w:type="dxa"/>
          </w:tcPr>
          <w:p w:rsidRPr="00C4618E" w:rsidR="007E0714" w:rsidP="0062464A" w:rsidRDefault="00835593" w14:paraId="2C088E78" w14:textId="7CEF4438">
            <w:pPr>
              <w:rPr>
                <w:rFonts w:ascii="Arial" w:hAnsi="Arial" w:cs="Arial"/>
                <w:b/>
                <w:bCs/>
                <w:color w:val="4F81BD" w:themeColor="accent1"/>
              </w:rPr>
            </w:pPr>
            <w:r w:rsidRPr="00C4618E">
              <w:rPr>
                <w:rFonts w:ascii="Arial" w:hAnsi="Arial" w:cs="Arial"/>
                <w:b/>
                <w:bCs/>
                <w:color w:val="4F81BD" w:themeColor="accent1"/>
              </w:rPr>
              <w:t>Date of Approval</w:t>
            </w:r>
          </w:p>
        </w:tc>
        <w:tc>
          <w:tcPr>
            <w:tcW w:w="7807" w:type="dxa"/>
          </w:tcPr>
          <w:p w:rsidRPr="00C4618E" w:rsidR="007E0714" w:rsidP="0062464A" w:rsidRDefault="00C4618E" w14:paraId="5F4E692F" w14:textId="4FC93834">
            <w:pPr>
              <w:rPr>
                <w:rFonts w:ascii="Arial" w:hAnsi="Arial" w:cs="Arial"/>
              </w:rPr>
            </w:pPr>
            <w:r w:rsidRPr="00C4618E">
              <w:rPr>
                <w:rFonts w:ascii="Arial" w:hAnsi="Arial" w:cs="Arial"/>
              </w:rPr>
              <w:t>13/03/2026</w:t>
            </w:r>
          </w:p>
        </w:tc>
      </w:tr>
      <w:tr w:rsidRPr="006A7183" w:rsidR="007E0714" w:rsidTr="003653E4" w14:paraId="431A7066" w14:textId="77777777">
        <w:tc>
          <w:tcPr>
            <w:tcW w:w="2263" w:type="dxa"/>
          </w:tcPr>
          <w:p w:rsidRPr="006A7183" w:rsidR="007E0714" w:rsidP="0062464A" w:rsidRDefault="00835593" w14:paraId="7648714E" w14:textId="3BA40EAF">
            <w:pPr>
              <w:rPr>
                <w:rFonts w:ascii="Arial" w:hAnsi="Arial" w:cs="Arial"/>
                <w:b/>
                <w:bCs/>
                <w:color w:val="4F81BD" w:themeColor="accent1"/>
              </w:rPr>
            </w:pPr>
            <w:r w:rsidRPr="006A7183">
              <w:rPr>
                <w:rFonts w:ascii="Arial" w:hAnsi="Arial" w:cs="Arial"/>
                <w:b/>
                <w:bCs/>
                <w:color w:val="4F81BD" w:themeColor="accent1"/>
              </w:rPr>
              <w:t xml:space="preserve">Date of Review </w:t>
            </w:r>
          </w:p>
        </w:tc>
        <w:tc>
          <w:tcPr>
            <w:tcW w:w="7807" w:type="dxa"/>
          </w:tcPr>
          <w:p w:rsidRPr="006A7183" w:rsidR="007E0714" w:rsidP="0062464A" w:rsidRDefault="00247297" w14:paraId="542FA6AF" w14:textId="5853D5F0">
            <w:pPr>
              <w:rPr>
                <w:rFonts w:ascii="Arial" w:hAnsi="Arial" w:cs="Arial"/>
              </w:rPr>
            </w:pPr>
            <w:r w:rsidRPr="006A7183">
              <w:rPr>
                <w:rFonts w:ascii="Arial" w:hAnsi="Arial" w:cs="Arial"/>
              </w:rPr>
              <w:t>March 2029</w:t>
            </w:r>
            <w:r w:rsidRPr="006A7183" w:rsidR="006A7183">
              <w:rPr>
                <w:rFonts w:ascii="Arial" w:hAnsi="Arial" w:cs="Arial"/>
              </w:rPr>
              <w:t xml:space="preserve"> </w:t>
            </w:r>
            <w:r w:rsidRPr="006A7183" w:rsidR="006A7183">
              <w:rPr>
                <w:rFonts w:ascii="Arial" w:hAnsi="Arial" w:cs="Arial"/>
              </w:rPr>
              <w:br/>
            </w:r>
            <w:r w:rsidRPr="006A7183" w:rsidR="006A7183">
              <w:rPr>
                <w:rFonts w:ascii="Arial" w:hAnsi="Arial" w:cs="Arial"/>
              </w:rPr>
              <w:t>If the review date has exceeded the published</w:t>
            </w:r>
            <w:r w:rsidR="00CD5A03">
              <w:rPr>
                <w:rFonts w:ascii="Arial" w:hAnsi="Arial" w:cs="Arial"/>
              </w:rPr>
              <w:t xml:space="preserve"> date the</w:t>
            </w:r>
            <w:r w:rsidR="007A5D31">
              <w:rPr>
                <w:rFonts w:ascii="Arial" w:hAnsi="Arial" w:cs="Arial"/>
              </w:rPr>
              <w:t xml:space="preserve"> </w:t>
            </w:r>
            <w:r w:rsidRPr="006A7183" w:rsidR="006A7183">
              <w:rPr>
                <w:rFonts w:ascii="Arial" w:hAnsi="Arial" w:cs="Arial"/>
              </w:rPr>
              <w:t>policy remains valid</w:t>
            </w:r>
          </w:p>
        </w:tc>
      </w:tr>
    </w:tbl>
    <w:p w:rsidR="003653E4" w:rsidP="0062464A" w:rsidRDefault="003653E4" w14:paraId="6D1717FA" w14:textId="77777777">
      <w:pPr>
        <w:rPr>
          <w:rFonts w:ascii="Arial" w:hAnsi="Arial" w:cs="Arial"/>
          <w:b/>
          <w:bCs/>
          <w:color w:val="4F81BD" w:themeColor="accent1"/>
          <w:sz w:val="28"/>
          <w:szCs w:val="28"/>
        </w:rPr>
      </w:pPr>
    </w:p>
    <w:p w:rsidRPr="005058E9" w:rsidR="005C30D6" w:rsidP="0062464A" w:rsidRDefault="005C30D6" w14:paraId="11189E8E" w14:textId="5731F62B">
      <w:pPr>
        <w:rPr>
          <w:rFonts w:ascii="Arial" w:hAnsi="Arial" w:cs="Arial"/>
          <w:b/>
          <w:bCs/>
          <w:color w:val="4F81BD" w:themeColor="accent1"/>
          <w:sz w:val="28"/>
          <w:szCs w:val="28"/>
        </w:rPr>
      </w:pPr>
    </w:p>
    <w:p w:rsidR="0060633F" w:rsidP="0062464A" w:rsidRDefault="0060633F" w14:paraId="0816154F" w14:textId="77777777">
      <w:pPr>
        <w:rPr>
          <w:rFonts w:ascii="Arial" w:hAnsi="Arial" w:cs="Arial"/>
          <w:b/>
          <w:bCs/>
          <w:sz w:val="28"/>
          <w:szCs w:val="28"/>
        </w:rPr>
      </w:pPr>
    </w:p>
    <w:p w:rsidR="00747FB8" w:rsidP="0062464A" w:rsidRDefault="00747FB8" w14:paraId="5990E992" w14:textId="77777777">
      <w:pPr>
        <w:rPr>
          <w:rFonts w:ascii="Arial" w:hAnsi="Arial" w:cs="Arial"/>
          <w:b/>
          <w:bCs/>
          <w:sz w:val="28"/>
          <w:szCs w:val="28"/>
        </w:rPr>
      </w:pPr>
    </w:p>
    <w:p w:rsidR="00747FB8" w:rsidP="0062464A" w:rsidRDefault="00747FB8" w14:paraId="4795457C" w14:textId="77777777">
      <w:pPr>
        <w:rPr>
          <w:rFonts w:ascii="Arial" w:hAnsi="Arial" w:cs="Arial"/>
          <w:b/>
          <w:bCs/>
          <w:sz w:val="28"/>
          <w:szCs w:val="28"/>
        </w:rPr>
      </w:pPr>
    </w:p>
    <w:p w:rsidR="00747FB8" w:rsidP="0062464A" w:rsidRDefault="00747FB8" w14:paraId="01153008" w14:textId="77777777">
      <w:pPr>
        <w:rPr>
          <w:rFonts w:ascii="Arial" w:hAnsi="Arial" w:cs="Arial"/>
          <w:b/>
          <w:bCs/>
          <w:sz w:val="28"/>
          <w:szCs w:val="28"/>
        </w:rPr>
      </w:pPr>
    </w:p>
    <w:p w:rsidR="00747FB8" w:rsidP="0062464A" w:rsidRDefault="00747FB8" w14:paraId="4D619F25" w14:textId="77777777">
      <w:pPr>
        <w:rPr>
          <w:rFonts w:ascii="Arial" w:hAnsi="Arial" w:cs="Arial"/>
          <w:b/>
          <w:bCs/>
          <w:sz w:val="28"/>
          <w:szCs w:val="28"/>
        </w:rPr>
      </w:pPr>
    </w:p>
    <w:p w:rsidRPr="00772127" w:rsidR="00DC62DE" w:rsidP="0062464A" w:rsidRDefault="00DC62DE" w14:paraId="7E4A7D0F" w14:textId="2948B817">
      <w:pPr>
        <w:rPr>
          <w:rFonts w:ascii="Arial" w:hAnsi="Arial" w:cs="Arial"/>
          <w:b/>
          <w:bCs/>
        </w:rPr>
      </w:pPr>
      <w:r w:rsidRPr="00772127">
        <w:rPr>
          <w:rFonts w:ascii="Arial" w:hAnsi="Arial" w:cs="Arial"/>
          <w:b/>
          <w:bCs/>
        </w:rPr>
        <w:t xml:space="preserve">Contents </w:t>
      </w:r>
      <w:r w:rsidRPr="00772127" w:rsidR="00A41EED">
        <w:rPr>
          <w:rFonts w:ascii="Arial" w:hAnsi="Arial" w:cs="Arial"/>
          <w:b/>
          <w:bCs/>
        </w:rPr>
        <w:t xml:space="preserve">    </w:t>
      </w:r>
    </w:p>
    <w:tbl>
      <w:tblPr>
        <w:tblStyle w:val="TableGrid"/>
        <w:tblW w:w="0" w:type="auto"/>
        <w:tblLook w:val="04A0" w:firstRow="1" w:lastRow="0" w:firstColumn="1" w:lastColumn="0" w:noHBand="0" w:noVBand="1"/>
      </w:tblPr>
      <w:tblGrid>
        <w:gridCol w:w="1050"/>
        <w:gridCol w:w="7169"/>
        <w:gridCol w:w="797"/>
      </w:tblGrid>
      <w:tr w:rsidRPr="005B2ACA" w:rsidR="00772127" w:rsidTr="6B9DE975" w14:paraId="00CB8FDA" w14:textId="77777777">
        <w:tc>
          <w:tcPr>
            <w:tcW w:w="1050" w:type="dxa"/>
            <w:tcMar/>
          </w:tcPr>
          <w:p w:rsidRPr="005B2ACA" w:rsidR="00772127" w:rsidP="005600B0" w:rsidRDefault="00772127" w14:paraId="526143D1" w14:textId="77777777">
            <w:pPr>
              <w:rPr>
                <w:rFonts w:ascii="Arial" w:hAnsi="Arial" w:cs="Arial"/>
                <w:sz w:val="20"/>
                <w:szCs w:val="20"/>
              </w:rPr>
            </w:pPr>
            <w:bookmarkStart w:name="_Hlk216173202" w:id="0"/>
            <w:r w:rsidRPr="005B2ACA">
              <w:rPr>
                <w:rFonts w:ascii="Arial" w:hAnsi="Arial" w:cs="Arial"/>
                <w:sz w:val="20"/>
                <w:szCs w:val="20"/>
              </w:rPr>
              <w:t xml:space="preserve">Section </w:t>
            </w:r>
          </w:p>
        </w:tc>
        <w:tc>
          <w:tcPr>
            <w:tcW w:w="7169" w:type="dxa"/>
            <w:tcMar/>
          </w:tcPr>
          <w:p w:rsidRPr="005B2ACA" w:rsidR="00772127" w:rsidP="005600B0" w:rsidRDefault="00772127" w14:paraId="78737B45" w14:textId="77777777">
            <w:pPr>
              <w:rPr>
                <w:rFonts w:ascii="Arial" w:hAnsi="Arial" w:cs="Arial"/>
                <w:sz w:val="20"/>
                <w:szCs w:val="20"/>
              </w:rPr>
            </w:pPr>
            <w:r w:rsidRPr="005B2ACA">
              <w:rPr>
                <w:rFonts w:ascii="Arial" w:hAnsi="Arial" w:cs="Arial"/>
                <w:sz w:val="20"/>
                <w:szCs w:val="20"/>
              </w:rPr>
              <w:t>Contents</w:t>
            </w:r>
          </w:p>
        </w:tc>
        <w:tc>
          <w:tcPr>
            <w:tcW w:w="797" w:type="dxa"/>
            <w:tcMar/>
          </w:tcPr>
          <w:p w:rsidRPr="005B2ACA" w:rsidR="00772127" w:rsidP="005600B0" w:rsidRDefault="00772127" w14:paraId="014CF7D0" w14:textId="77777777">
            <w:pPr>
              <w:rPr>
                <w:rFonts w:ascii="Arial" w:hAnsi="Arial" w:cs="Arial"/>
                <w:sz w:val="20"/>
                <w:szCs w:val="20"/>
              </w:rPr>
            </w:pPr>
            <w:r w:rsidRPr="005B2ACA">
              <w:rPr>
                <w:rFonts w:ascii="Arial" w:hAnsi="Arial" w:cs="Arial"/>
                <w:sz w:val="20"/>
                <w:szCs w:val="20"/>
              </w:rPr>
              <w:t>Page</w:t>
            </w:r>
          </w:p>
        </w:tc>
      </w:tr>
      <w:tr w:rsidRPr="005B2ACA" w:rsidR="00772127" w:rsidTr="6B9DE975" w14:paraId="7E1AB2A2" w14:textId="77777777">
        <w:tc>
          <w:tcPr>
            <w:tcW w:w="1050" w:type="dxa"/>
            <w:tcMar/>
          </w:tcPr>
          <w:p w:rsidRPr="005B2ACA" w:rsidR="00772127" w:rsidP="005600B0" w:rsidRDefault="00772127" w14:paraId="1C5A54E6" w14:textId="77777777">
            <w:pPr>
              <w:rPr>
                <w:rFonts w:ascii="Arial" w:hAnsi="Arial" w:cs="Arial"/>
                <w:sz w:val="20"/>
                <w:szCs w:val="20"/>
              </w:rPr>
            </w:pPr>
            <w:r w:rsidRPr="005B2ACA">
              <w:rPr>
                <w:rFonts w:ascii="Arial" w:hAnsi="Arial" w:cs="Arial"/>
                <w:sz w:val="20"/>
                <w:szCs w:val="20"/>
              </w:rPr>
              <w:t>1</w:t>
            </w:r>
          </w:p>
        </w:tc>
        <w:tc>
          <w:tcPr>
            <w:tcW w:w="7169" w:type="dxa"/>
            <w:tcMar/>
          </w:tcPr>
          <w:p w:rsidRPr="005B2ACA" w:rsidR="00772127" w:rsidP="005600B0" w:rsidRDefault="00772127" w14:paraId="5077AB18" w14:textId="77777777">
            <w:pPr>
              <w:rPr>
                <w:rFonts w:ascii="Arial" w:hAnsi="Arial" w:cs="Arial"/>
                <w:sz w:val="20"/>
                <w:szCs w:val="20"/>
              </w:rPr>
            </w:pPr>
            <w:r w:rsidRPr="005B2ACA">
              <w:rPr>
                <w:rFonts w:ascii="Arial" w:hAnsi="Arial" w:cs="Arial"/>
                <w:sz w:val="20"/>
                <w:szCs w:val="20"/>
              </w:rPr>
              <w:t>Introduction</w:t>
            </w:r>
          </w:p>
        </w:tc>
        <w:tc>
          <w:tcPr>
            <w:tcW w:w="797" w:type="dxa"/>
            <w:tcMar/>
          </w:tcPr>
          <w:p w:rsidRPr="005B2ACA" w:rsidR="00772127" w:rsidP="005600B0" w:rsidRDefault="00772127" w14:paraId="19EB975E" w14:textId="77777777">
            <w:pPr>
              <w:rPr>
                <w:rFonts w:ascii="Arial" w:hAnsi="Arial" w:cs="Arial"/>
                <w:sz w:val="20"/>
                <w:szCs w:val="20"/>
              </w:rPr>
            </w:pPr>
            <w:r>
              <w:rPr>
                <w:rFonts w:ascii="Arial" w:hAnsi="Arial" w:cs="Arial"/>
                <w:sz w:val="20"/>
                <w:szCs w:val="20"/>
              </w:rPr>
              <w:t>3</w:t>
            </w:r>
          </w:p>
        </w:tc>
      </w:tr>
      <w:tr w:rsidRPr="005B2ACA" w:rsidR="00772127" w:rsidTr="6B9DE975" w14:paraId="7614D136" w14:textId="77777777">
        <w:tc>
          <w:tcPr>
            <w:tcW w:w="1050" w:type="dxa"/>
            <w:tcMar/>
          </w:tcPr>
          <w:p w:rsidRPr="005B2ACA" w:rsidR="00772127" w:rsidP="005600B0" w:rsidRDefault="00772127" w14:paraId="6143E79C" w14:textId="77777777">
            <w:pPr>
              <w:rPr>
                <w:rFonts w:ascii="Arial" w:hAnsi="Arial" w:cs="Arial"/>
                <w:sz w:val="20"/>
                <w:szCs w:val="20"/>
              </w:rPr>
            </w:pPr>
            <w:r w:rsidRPr="005B2ACA">
              <w:rPr>
                <w:rFonts w:ascii="Arial" w:hAnsi="Arial" w:cs="Arial"/>
                <w:sz w:val="20"/>
                <w:szCs w:val="20"/>
              </w:rPr>
              <w:t>1.1</w:t>
            </w:r>
          </w:p>
        </w:tc>
        <w:tc>
          <w:tcPr>
            <w:tcW w:w="7169" w:type="dxa"/>
            <w:tcMar/>
          </w:tcPr>
          <w:p w:rsidRPr="005B2ACA" w:rsidR="00772127" w:rsidP="005600B0" w:rsidRDefault="00772127" w14:paraId="05194822" w14:textId="77777777">
            <w:pPr>
              <w:rPr>
                <w:rFonts w:ascii="Arial" w:hAnsi="Arial" w:cs="Arial"/>
                <w:sz w:val="20"/>
                <w:szCs w:val="20"/>
              </w:rPr>
            </w:pPr>
            <w:r w:rsidRPr="005B2ACA">
              <w:rPr>
                <w:rFonts w:ascii="Arial" w:hAnsi="Arial" w:cs="Arial"/>
                <w:sz w:val="20"/>
                <w:szCs w:val="20"/>
              </w:rPr>
              <w:t>Interim Process Arrangements</w:t>
            </w:r>
          </w:p>
        </w:tc>
        <w:tc>
          <w:tcPr>
            <w:tcW w:w="797" w:type="dxa"/>
            <w:tcMar/>
          </w:tcPr>
          <w:p w:rsidRPr="005B2ACA" w:rsidR="00772127" w:rsidP="005600B0" w:rsidRDefault="00772127" w14:paraId="35F0E884" w14:textId="77777777">
            <w:pPr>
              <w:rPr>
                <w:rFonts w:ascii="Arial" w:hAnsi="Arial" w:cs="Arial"/>
                <w:sz w:val="20"/>
                <w:szCs w:val="20"/>
              </w:rPr>
            </w:pPr>
            <w:r>
              <w:rPr>
                <w:rFonts w:ascii="Arial" w:hAnsi="Arial" w:cs="Arial"/>
                <w:sz w:val="20"/>
                <w:szCs w:val="20"/>
              </w:rPr>
              <w:t>4</w:t>
            </w:r>
          </w:p>
        </w:tc>
      </w:tr>
      <w:tr w:rsidRPr="005B2ACA" w:rsidR="00772127" w:rsidTr="6B9DE975" w14:paraId="76D0BD2D" w14:textId="77777777">
        <w:tc>
          <w:tcPr>
            <w:tcW w:w="1050" w:type="dxa"/>
            <w:tcMar/>
          </w:tcPr>
          <w:p w:rsidRPr="005B2ACA" w:rsidR="00772127" w:rsidP="005600B0" w:rsidRDefault="00772127" w14:paraId="17AB0CD7" w14:textId="77777777">
            <w:pPr>
              <w:rPr>
                <w:rFonts w:ascii="Arial" w:hAnsi="Arial" w:cs="Arial"/>
                <w:sz w:val="20"/>
                <w:szCs w:val="20"/>
              </w:rPr>
            </w:pPr>
            <w:r w:rsidRPr="005B2ACA">
              <w:rPr>
                <w:rFonts w:ascii="Arial" w:hAnsi="Arial" w:cs="Arial"/>
                <w:sz w:val="20"/>
                <w:szCs w:val="20"/>
              </w:rPr>
              <w:t>2</w:t>
            </w:r>
          </w:p>
        </w:tc>
        <w:tc>
          <w:tcPr>
            <w:tcW w:w="7169" w:type="dxa"/>
            <w:tcMar/>
          </w:tcPr>
          <w:p w:rsidRPr="005B2ACA" w:rsidR="00772127" w:rsidP="005600B0" w:rsidRDefault="00772127" w14:paraId="18185047" w14:textId="77777777">
            <w:pPr>
              <w:rPr>
                <w:rFonts w:ascii="Arial" w:hAnsi="Arial" w:cs="Arial"/>
                <w:sz w:val="20"/>
                <w:szCs w:val="20"/>
              </w:rPr>
            </w:pPr>
            <w:r w:rsidRPr="005B2ACA">
              <w:rPr>
                <w:rFonts w:ascii="Arial" w:hAnsi="Arial" w:cs="Arial"/>
                <w:sz w:val="20"/>
                <w:szCs w:val="20"/>
              </w:rPr>
              <w:t xml:space="preserve">Equality Statement </w:t>
            </w:r>
          </w:p>
        </w:tc>
        <w:tc>
          <w:tcPr>
            <w:tcW w:w="797" w:type="dxa"/>
            <w:tcMar/>
          </w:tcPr>
          <w:p w:rsidRPr="005B2ACA" w:rsidR="00772127" w:rsidP="005600B0" w:rsidRDefault="00772127" w14:paraId="77CC61CC" w14:textId="77777777">
            <w:pPr>
              <w:rPr>
                <w:rFonts w:ascii="Arial" w:hAnsi="Arial" w:cs="Arial"/>
                <w:sz w:val="20"/>
                <w:szCs w:val="20"/>
              </w:rPr>
            </w:pPr>
            <w:r>
              <w:rPr>
                <w:rFonts w:ascii="Arial" w:hAnsi="Arial" w:cs="Arial"/>
                <w:sz w:val="20"/>
                <w:szCs w:val="20"/>
              </w:rPr>
              <w:t>4</w:t>
            </w:r>
          </w:p>
        </w:tc>
      </w:tr>
      <w:tr w:rsidRPr="005B2ACA" w:rsidR="00772127" w:rsidTr="6B9DE975" w14:paraId="63BDE1CE" w14:textId="77777777">
        <w:tc>
          <w:tcPr>
            <w:tcW w:w="1050" w:type="dxa"/>
            <w:tcMar/>
          </w:tcPr>
          <w:p w:rsidRPr="005B2ACA" w:rsidR="00772127" w:rsidP="005600B0" w:rsidRDefault="00772127" w14:paraId="40F6611B" w14:textId="77777777">
            <w:pPr>
              <w:rPr>
                <w:rFonts w:ascii="Arial" w:hAnsi="Arial" w:cs="Arial"/>
                <w:sz w:val="20"/>
                <w:szCs w:val="20"/>
              </w:rPr>
            </w:pPr>
            <w:r w:rsidRPr="005B2ACA">
              <w:rPr>
                <w:rFonts w:ascii="Arial" w:hAnsi="Arial" w:cs="Arial"/>
                <w:sz w:val="20"/>
                <w:szCs w:val="20"/>
              </w:rPr>
              <w:t>3</w:t>
            </w:r>
          </w:p>
        </w:tc>
        <w:tc>
          <w:tcPr>
            <w:tcW w:w="7169" w:type="dxa"/>
            <w:tcMar/>
          </w:tcPr>
          <w:p w:rsidRPr="005B2ACA" w:rsidR="00772127" w:rsidP="005600B0" w:rsidRDefault="00772127" w14:paraId="46F82917" w14:textId="77777777">
            <w:pPr>
              <w:rPr>
                <w:rFonts w:ascii="Arial" w:hAnsi="Arial" w:cs="Arial"/>
                <w:sz w:val="20"/>
                <w:szCs w:val="20"/>
              </w:rPr>
            </w:pPr>
            <w:r w:rsidRPr="005B2ACA">
              <w:rPr>
                <w:rFonts w:ascii="Arial" w:hAnsi="Arial" w:cs="Arial"/>
                <w:sz w:val="20"/>
                <w:szCs w:val="20"/>
              </w:rPr>
              <w:t>Purpose and Scope</w:t>
            </w:r>
          </w:p>
        </w:tc>
        <w:tc>
          <w:tcPr>
            <w:tcW w:w="797" w:type="dxa"/>
            <w:tcMar/>
          </w:tcPr>
          <w:p w:rsidRPr="005B2ACA" w:rsidR="00772127" w:rsidP="005600B0" w:rsidRDefault="00772127" w14:paraId="394D40DB" w14:textId="77777777">
            <w:pPr>
              <w:rPr>
                <w:rFonts w:ascii="Arial" w:hAnsi="Arial" w:cs="Arial"/>
                <w:sz w:val="20"/>
                <w:szCs w:val="20"/>
              </w:rPr>
            </w:pPr>
            <w:r>
              <w:rPr>
                <w:rFonts w:ascii="Arial" w:hAnsi="Arial" w:cs="Arial"/>
                <w:sz w:val="20"/>
                <w:szCs w:val="20"/>
              </w:rPr>
              <w:t>5</w:t>
            </w:r>
          </w:p>
        </w:tc>
      </w:tr>
      <w:tr w:rsidRPr="005B2ACA" w:rsidR="00772127" w:rsidTr="6B9DE975" w14:paraId="576BD7BD" w14:textId="77777777">
        <w:tc>
          <w:tcPr>
            <w:tcW w:w="1050" w:type="dxa"/>
            <w:tcMar/>
          </w:tcPr>
          <w:p w:rsidRPr="005B2ACA" w:rsidR="00772127" w:rsidP="005600B0" w:rsidRDefault="00772127" w14:paraId="068C8A49" w14:textId="77777777">
            <w:pPr>
              <w:rPr>
                <w:rFonts w:ascii="Arial" w:hAnsi="Arial" w:cs="Arial"/>
                <w:sz w:val="20"/>
                <w:szCs w:val="20"/>
              </w:rPr>
            </w:pPr>
            <w:r w:rsidRPr="005B2ACA">
              <w:rPr>
                <w:rFonts w:ascii="Arial" w:hAnsi="Arial" w:cs="Arial"/>
                <w:sz w:val="20"/>
                <w:szCs w:val="20"/>
              </w:rPr>
              <w:t>3.1</w:t>
            </w:r>
          </w:p>
        </w:tc>
        <w:tc>
          <w:tcPr>
            <w:tcW w:w="7169" w:type="dxa"/>
            <w:tcMar/>
          </w:tcPr>
          <w:p w:rsidRPr="005B2ACA" w:rsidR="00772127" w:rsidP="005600B0" w:rsidRDefault="00772127" w14:paraId="58A1BBF4" w14:textId="77777777">
            <w:pPr>
              <w:rPr>
                <w:rFonts w:ascii="Arial" w:hAnsi="Arial" w:cs="Arial"/>
                <w:sz w:val="20"/>
                <w:szCs w:val="20"/>
              </w:rPr>
            </w:pPr>
            <w:r w:rsidRPr="005B2ACA">
              <w:rPr>
                <w:rFonts w:ascii="Arial" w:hAnsi="Arial" w:cs="Arial"/>
                <w:sz w:val="20"/>
                <w:szCs w:val="20"/>
              </w:rPr>
              <w:t xml:space="preserve">Determining the Responsible Commissioner </w:t>
            </w:r>
          </w:p>
        </w:tc>
        <w:tc>
          <w:tcPr>
            <w:tcW w:w="797" w:type="dxa"/>
            <w:tcMar/>
          </w:tcPr>
          <w:p w:rsidRPr="005B2ACA" w:rsidR="00772127" w:rsidP="005600B0" w:rsidRDefault="00772127" w14:paraId="4FB46AA3" w14:textId="77777777">
            <w:pPr>
              <w:rPr>
                <w:rFonts w:ascii="Arial" w:hAnsi="Arial" w:cs="Arial"/>
                <w:sz w:val="20"/>
                <w:szCs w:val="20"/>
              </w:rPr>
            </w:pPr>
            <w:r>
              <w:rPr>
                <w:rFonts w:ascii="Arial" w:hAnsi="Arial" w:cs="Arial"/>
                <w:sz w:val="20"/>
                <w:szCs w:val="20"/>
              </w:rPr>
              <w:t>5</w:t>
            </w:r>
          </w:p>
        </w:tc>
      </w:tr>
      <w:tr w:rsidRPr="005B2ACA" w:rsidR="00772127" w:rsidTr="6B9DE975" w14:paraId="691CF973" w14:textId="77777777">
        <w:tc>
          <w:tcPr>
            <w:tcW w:w="1050" w:type="dxa"/>
            <w:tcMar/>
          </w:tcPr>
          <w:p w:rsidRPr="005B2ACA" w:rsidR="00772127" w:rsidP="005600B0" w:rsidRDefault="00772127" w14:paraId="5F405669" w14:textId="77777777">
            <w:pPr>
              <w:rPr>
                <w:rFonts w:ascii="Arial" w:hAnsi="Arial" w:cs="Arial"/>
                <w:sz w:val="20"/>
                <w:szCs w:val="20"/>
              </w:rPr>
            </w:pPr>
            <w:r w:rsidRPr="005B2ACA">
              <w:rPr>
                <w:rFonts w:ascii="Arial" w:hAnsi="Arial" w:cs="Arial"/>
                <w:sz w:val="20"/>
                <w:szCs w:val="20"/>
              </w:rPr>
              <w:t>3.2</w:t>
            </w:r>
          </w:p>
        </w:tc>
        <w:tc>
          <w:tcPr>
            <w:tcW w:w="7169" w:type="dxa"/>
            <w:tcMar/>
          </w:tcPr>
          <w:p w:rsidRPr="005B2ACA" w:rsidR="00772127" w:rsidP="005600B0" w:rsidRDefault="00772127" w14:paraId="423FD170" w14:textId="77777777">
            <w:pPr>
              <w:rPr>
                <w:rFonts w:ascii="Arial" w:hAnsi="Arial" w:cs="Arial"/>
                <w:sz w:val="20"/>
                <w:szCs w:val="20"/>
              </w:rPr>
            </w:pPr>
            <w:r w:rsidRPr="005B2ACA">
              <w:rPr>
                <w:rFonts w:ascii="Arial" w:hAnsi="Arial" w:cs="Arial"/>
                <w:sz w:val="20"/>
                <w:szCs w:val="20"/>
              </w:rPr>
              <w:t xml:space="preserve">Requests for </w:t>
            </w:r>
            <w:r>
              <w:rPr>
                <w:rFonts w:ascii="Arial" w:hAnsi="Arial" w:cs="Arial"/>
                <w:sz w:val="20"/>
                <w:szCs w:val="20"/>
              </w:rPr>
              <w:t>T</w:t>
            </w:r>
            <w:r w:rsidRPr="005B2ACA">
              <w:rPr>
                <w:rFonts w:ascii="Arial" w:hAnsi="Arial" w:cs="Arial"/>
                <w:sz w:val="20"/>
                <w:szCs w:val="20"/>
              </w:rPr>
              <w:t>reatment Abroad</w:t>
            </w:r>
          </w:p>
        </w:tc>
        <w:tc>
          <w:tcPr>
            <w:tcW w:w="797" w:type="dxa"/>
            <w:tcMar/>
          </w:tcPr>
          <w:p w:rsidRPr="005B2ACA" w:rsidR="00772127" w:rsidP="005600B0" w:rsidRDefault="00772127" w14:paraId="2552809E" w14:textId="77777777">
            <w:pPr>
              <w:rPr>
                <w:rFonts w:ascii="Arial" w:hAnsi="Arial" w:cs="Arial"/>
                <w:sz w:val="20"/>
                <w:szCs w:val="20"/>
              </w:rPr>
            </w:pPr>
            <w:r>
              <w:rPr>
                <w:rFonts w:ascii="Arial" w:hAnsi="Arial" w:cs="Arial"/>
                <w:sz w:val="20"/>
                <w:szCs w:val="20"/>
              </w:rPr>
              <w:t>6</w:t>
            </w:r>
          </w:p>
        </w:tc>
      </w:tr>
      <w:tr w:rsidRPr="005B2ACA" w:rsidR="00772127" w:rsidTr="6B9DE975" w14:paraId="1975F69B" w14:textId="77777777">
        <w:tc>
          <w:tcPr>
            <w:tcW w:w="1050" w:type="dxa"/>
            <w:tcMar/>
          </w:tcPr>
          <w:p w:rsidRPr="005B2ACA" w:rsidR="00772127" w:rsidP="005600B0" w:rsidRDefault="00772127" w14:paraId="179A98A1" w14:textId="77777777">
            <w:pPr>
              <w:rPr>
                <w:rFonts w:ascii="Arial" w:hAnsi="Arial" w:cs="Arial"/>
                <w:sz w:val="20"/>
                <w:szCs w:val="20"/>
              </w:rPr>
            </w:pPr>
            <w:r w:rsidRPr="005B2ACA">
              <w:rPr>
                <w:rFonts w:ascii="Arial" w:hAnsi="Arial" w:cs="Arial"/>
                <w:sz w:val="20"/>
                <w:szCs w:val="20"/>
              </w:rPr>
              <w:t>4</w:t>
            </w:r>
          </w:p>
        </w:tc>
        <w:tc>
          <w:tcPr>
            <w:tcW w:w="7169" w:type="dxa"/>
            <w:tcMar/>
          </w:tcPr>
          <w:p w:rsidRPr="005B2ACA" w:rsidR="00772127" w:rsidP="005600B0" w:rsidRDefault="00772127" w14:paraId="20DE28E3" w14:textId="77777777">
            <w:pPr>
              <w:rPr>
                <w:rFonts w:ascii="Arial" w:hAnsi="Arial" w:cs="Arial"/>
                <w:sz w:val="20"/>
                <w:szCs w:val="20"/>
              </w:rPr>
            </w:pPr>
            <w:r w:rsidRPr="005B2ACA">
              <w:rPr>
                <w:rFonts w:ascii="Arial" w:hAnsi="Arial" w:cs="Arial"/>
                <w:sz w:val="20"/>
                <w:szCs w:val="20"/>
              </w:rPr>
              <w:t xml:space="preserve">Content </w:t>
            </w:r>
          </w:p>
        </w:tc>
        <w:tc>
          <w:tcPr>
            <w:tcW w:w="797" w:type="dxa"/>
            <w:tcMar/>
          </w:tcPr>
          <w:p w:rsidRPr="005B2ACA" w:rsidR="00772127" w:rsidP="005600B0" w:rsidRDefault="00772127" w14:paraId="05D3627D" w14:textId="77777777">
            <w:pPr>
              <w:rPr>
                <w:rFonts w:ascii="Arial" w:hAnsi="Arial" w:cs="Arial"/>
                <w:sz w:val="20"/>
                <w:szCs w:val="20"/>
              </w:rPr>
            </w:pPr>
            <w:r>
              <w:rPr>
                <w:rFonts w:ascii="Arial" w:hAnsi="Arial" w:cs="Arial"/>
                <w:sz w:val="20"/>
                <w:szCs w:val="20"/>
              </w:rPr>
              <w:t>6</w:t>
            </w:r>
          </w:p>
        </w:tc>
      </w:tr>
      <w:tr w:rsidRPr="005B2ACA" w:rsidR="00772127" w:rsidTr="6B9DE975" w14:paraId="6BD79EFC" w14:textId="77777777">
        <w:tc>
          <w:tcPr>
            <w:tcW w:w="1050" w:type="dxa"/>
            <w:tcMar/>
          </w:tcPr>
          <w:p w:rsidRPr="005B2ACA" w:rsidR="00772127" w:rsidP="005600B0" w:rsidRDefault="00772127" w14:paraId="5D825DB1" w14:textId="77777777">
            <w:pPr>
              <w:rPr>
                <w:rFonts w:ascii="Arial" w:hAnsi="Arial" w:cs="Arial"/>
                <w:sz w:val="20"/>
                <w:szCs w:val="20"/>
              </w:rPr>
            </w:pPr>
            <w:r w:rsidRPr="005B2ACA">
              <w:rPr>
                <w:rFonts w:ascii="Arial" w:hAnsi="Arial" w:cs="Arial"/>
                <w:sz w:val="20"/>
                <w:szCs w:val="20"/>
              </w:rPr>
              <w:t xml:space="preserve">4.1 </w:t>
            </w:r>
          </w:p>
        </w:tc>
        <w:tc>
          <w:tcPr>
            <w:tcW w:w="7169" w:type="dxa"/>
            <w:tcMar/>
          </w:tcPr>
          <w:p w:rsidRPr="005B2ACA" w:rsidR="00772127" w:rsidP="005600B0" w:rsidRDefault="00772127" w14:paraId="6D5130C8" w14:textId="77777777">
            <w:pPr>
              <w:rPr>
                <w:rFonts w:ascii="Arial" w:hAnsi="Arial" w:cs="Arial"/>
                <w:sz w:val="20"/>
                <w:szCs w:val="20"/>
              </w:rPr>
            </w:pPr>
            <w:r w:rsidRPr="005B2ACA">
              <w:rPr>
                <w:rFonts w:ascii="Arial" w:hAnsi="Arial" w:cs="Arial"/>
                <w:sz w:val="20"/>
                <w:szCs w:val="20"/>
              </w:rPr>
              <w:t>IFR and Exceptional Cases Criteria</w:t>
            </w:r>
          </w:p>
        </w:tc>
        <w:tc>
          <w:tcPr>
            <w:tcW w:w="797" w:type="dxa"/>
            <w:tcMar/>
          </w:tcPr>
          <w:p w:rsidRPr="005B2ACA" w:rsidR="00772127" w:rsidP="005600B0" w:rsidRDefault="00772127" w14:paraId="5EC94E8F" w14:textId="77777777">
            <w:pPr>
              <w:rPr>
                <w:rFonts w:ascii="Arial" w:hAnsi="Arial" w:cs="Arial"/>
                <w:sz w:val="20"/>
                <w:szCs w:val="20"/>
              </w:rPr>
            </w:pPr>
            <w:r>
              <w:rPr>
                <w:rFonts w:ascii="Arial" w:hAnsi="Arial" w:cs="Arial"/>
                <w:sz w:val="20"/>
                <w:szCs w:val="20"/>
              </w:rPr>
              <w:t>6</w:t>
            </w:r>
          </w:p>
        </w:tc>
      </w:tr>
      <w:tr w:rsidRPr="005B2ACA" w:rsidR="00772127" w:rsidTr="6B9DE975" w14:paraId="40B2B04C" w14:textId="77777777">
        <w:tc>
          <w:tcPr>
            <w:tcW w:w="1050" w:type="dxa"/>
            <w:tcMar/>
          </w:tcPr>
          <w:p w:rsidRPr="005B2ACA" w:rsidR="00772127" w:rsidP="005600B0" w:rsidRDefault="00772127" w14:paraId="49FB1DFC" w14:textId="77777777">
            <w:pPr>
              <w:rPr>
                <w:rFonts w:ascii="Arial" w:hAnsi="Arial" w:cs="Arial"/>
                <w:sz w:val="20"/>
                <w:szCs w:val="20"/>
              </w:rPr>
            </w:pPr>
            <w:r w:rsidRPr="005B2ACA">
              <w:rPr>
                <w:rFonts w:ascii="Arial" w:hAnsi="Arial" w:cs="Arial"/>
                <w:sz w:val="20"/>
                <w:szCs w:val="20"/>
              </w:rPr>
              <w:t>4.2</w:t>
            </w:r>
          </w:p>
        </w:tc>
        <w:tc>
          <w:tcPr>
            <w:tcW w:w="7169" w:type="dxa"/>
            <w:tcMar/>
          </w:tcPr>
          <w:p w:rsidRPr="005B2ACA" w:rsidR="00772127" w:rsidP="005600B0" w:rsidRDefault="00772127" w14:paraId="41BA30E0" w14:textId="77777777">
            <w:pPr>
              <w:rPr>
                <w:rFonts w:ascii="Arial" w:hAnsi="Arial" w:cs="Arial"/>
                <w:sz w:val="20"/>
                <w:szCs w:val="20"/>
              </w:rPr>
            </w:pPr>
            <w:r w:rsidRPr="005B2ACA">
              <w:rPr>
                <w:rFonts w:ascii="Arial" w:hAnsi="Arial" w:cs="Arial"/>
                <w:sz w:val="20"/>
                <w:szCs w:val="20"/>
              </w:rPr>
              <w:t>Clinical Exceptionality in Detail</w:t>
            </w:r>
          </w:p>
        </w:tc>
        <w:tc>
          <w:tcPr>
            <w:tcW w:w="797" w:type="dxa"/>
            <w:tcMar/>
          </w:tcPr>
          <w:p w:rsidRPr="005B2ACA" w:rsidR="00772127" w:rsidP="005600B0" w:rsidRDefault="00772127" w14:paraId="1EF1E389" w14:textId="77777777">
            <w:pPr>
              <w:rPr>
                <w:rFonts w:ascii="Arial" w:hAnsi="Arial" w:cs="Arial"/>
                <w:sz w:val="20"/>
                <w:szCs w:val="20"/>
              </w:rPr>
            </w:pPr>
            <w:r>
              <w:rPr>
                <w:rFonts w:ascii="Arial" w:hAnsi="Arial" w:cs="Arial"/>
                <w:sz w:val="20"/>
                <w:szCs w:val="20"/>
              </w:rPr>
              <w:t>6</w:t>
            </w:r>
          </w:p>
        </w:tc>
      </w:tr>
      <w:tr w:rsidRPr="005B2ACA" w:rsidR="00772127" w:rsidTr="6B9DE975" w14:paraId="7AF94D89" w14:textId="77777777">
        <w:tc>
          <w:tcPr>
            <w:tcW w:w="1050" w:type="dxa"/>
            <w:tcMar/>
          </w:tcPr>
          <w:p w:rsidRPr="005B2ACA" w:rsidR="00772127" w:rsidP="005600B0" w:rsidRDefault="00772127" w14:paraId="22222FEC" w14:textId="77777777">
            <w:pPr>
              <w:rPr>
                <w:rFonts w:ascii="Arial" w:hAnsi="Arial" w:cs="Arial"/>
                <w:sz w:val="20"/>
                <w:szCs w:val="20"/>
              </w:rPr>
            </w:pPr>
            <w:r w:rsidRPr="005B2ACA">
              <w:rPr>
                <w:rFonts w:ascii="Arial" w:hAnsi="Arial" w:cs="Arial"/>
                <w:sz w:val="20"/>
                <w:szCs w:val="20"/>
              </w:rPr>
              <w:t>4.2.1</w:t>
            </w:r>
          </w:p>
        </w:tc>
        <w:tc>
          <w:tcPr>
            <w:tcW w:w="7169" w:type="dxa"/>
            <w:tcMar/>
          </w:tcPr>
          <w:p w:rsidRPr="005B2ACA" w:rsidR="00772127" w:rsidP="005600B0" w:rsidRDefault="00772127" w14:paraId="1495422F" w14:textId="77777777">
            <w:pPr>
              <w:rPr>
                <w:rFonts w:ascii="Arial" w:hAnsi="Arial" w:cs="Arial"/>
                <w:sz w:val="20"/>
                <w:szCs w:val="20"/>
              </w:rPr>
            </w:pPr>
            <w:r w:rsidRPr="005B2ACA">
              <w:rPr>
                <w:rFonts w:ascii="Arial" w:hAnsi="Arial" w:cs="Arial"/>
                <w:sz w:val="20"/>
                <w:szCs w:val="20"/>
              </w:rPr>
              <w:t>Clinical exceptionality: failure to respond to standard care</w:t>
            </w:r>
          </w:p>
        </w:tc>
        <w:tc>
          <w:tcPr>
            <w:tcW w:w="797" w:type="dxa"/>
            <w:tcMar/>
          </w:tcPr>
          <w:p w:rsidRPr="005B2ACA" w:rsidR="00772127" w:rsidP="005600B0" w:rsidRDefault="00772127" w14:paraId="3D18C98F" w14:textId="77777777">
            <w:pPr>
              <w:rPr>
                <w:rFonts w:ascii="Arial" w:hAnsi="Arial" w:cs="Arial"/>
                <w:sz w:val="20"/>
                <w:szCs w:val="20"/>
              </w:rPr>
            </w:pPr>
            <w:r>
              <w:rPr>
                <w:rFonts w:ascii="Arial" w:hAnsi="Arial" w:cs="Arial"/>
                <w:sz w:val="20"/>
                <w:szCs w:val="20"/>
              </w:rPr>
              <w:t>7</w:t>
            </w:r>
          </w:p>
        </w:tc>
      </w:tr>
      <w:tr w:rsidRPr="005B2ACA" w:rsidR="00772127" w:rsidTr="6B9DE975" w14:paraId="0449AF75" w14:textId="77777777">
        <w:tc>
          <w:tcPr>
            <w:tcW w:w="1050" w:type="dxa"/>
            <w:tcMar/>
          </w:tcPr>
          <w:p w:rsidRPr="005B2ACA" w:rsidR="00772127" w:rsidP="005600B0" w:rsidRDefault="00772127" w14:paraId="492071C3" w14:textId="77777777">
            <w:pPr>
              <w:rPr>
                <w:rFonts w:ascii="Arial" w:hAnsi="Arial" w:cs="Arial"/>
                <w:sz w:val="20"/>
                <w:szCs w:val="20"/>
              </w:rPr>
            </w:pPr>
            <w:r w:rsidRPr="005B2ACA">
              <w:rPr>
                <w:rFonts w:ascii="Arial" w:hAnsi="Arial" w:cs="Arial"/>
                <w:sz w:val="20"/>
                <w:szCs w:val="20"/>
              </w:rPr>
              <w:t>4.2.2</w:t>
            </w:r>
          </w:p>
        </w:tc>
        <w:tc>
          <w:tcPr>
            <w:tcW w:w="7169" w:type="dxa"/>
            <w:tcMar/>
          </w:tcPr>
          <w:p w:rsidRPr="005B2ACA" w:rsidR="00772127" w:rsidP="005600B0" w:rsidRDefault="00772127" w14:paraId="7CB91C61" w14:textId="77777777">
            <w:pPr>
              <w:rPr>
                <w:rFonts w:ascii="Arial" w:hAnsi="Arial" w:cs="Arial"/>
                <w:sz w:val="20"/>
                <w:szCs w:val="20"/>
              </w:rPr>
            </w:pPr>
            <w:r w:rsidRPr="005B2ACA">
              <w:rPr>
                <w:rFonts w:ascii="Arial" w:hAnsi="Arial" w:cs="Arial"/>
                <w:sz w:val="20"/>
                <w:szCs w:val="20"/>
              </w:rPr>
              <w:t>Clinical Exceptionality: Genotypes</w:t>
            </w:r>
          </w:p>
        </w:tc>
        <w:tc>
          <w:tcPr>
            <w:tcW w:w="797" w:type="dxa"/>
            <w:tcMar/>
          </w:tcPr>
          <w:p w:rsidRPr="005B2ACA" w:rsidR="00772127" w:rsidP="005600B0" w:rsidRDefault="00772127" w14:paraId="6482AD92" w14:textId="77777777">
            <w:pPr>
              <w:rPr>
                <w:rFonts w:ascii="Arial" w:hAnsi="Arial" w:cs="Arial"/>
                <w:sz w:val="20"/>
                <w:szCs w:val="20"/>
              </w:rPr>
            </w:pPr>
            <w:r>
              <w:rPr>
                <w:rFonts w:ascii="Arial" w:hAnsi="Arial" w:cs="Arial"/>
                <w:sz w:val="20"/>
                <w:szCs w:val="20"/>
              </w:rPr>
              <w:t>8</w:t>
            </w:r>
          </w:p>
        </w:tc>
      </w:tr>
      <w:tr w:rsidRPr="005B2ACA" w:rsidR="00772127" w:rsidTr="6B9DE975" w14:paraId="46BB282E" w14:textId="77777777">
        <w:tc>
          <w:tcPr>
            <w:tcW w:w="1050" w:type="dxa"/>
            <w:tcMar/>
          </w:tcPr>
          <w:p w:rsidRPr="005B2ACA" w:rsidR="00772127" w:rsidP="005600B0" w:rsidRDefault="00772127" w14:paraId="19DCC0D2" w14:textId="77777777">
            <w:pPr>
              <w:rPr>
                <w:rFonts w:ascii="Arial" w:hAnsi="Arial" w:cs="Arial"/>
                <w:sz w:val="20"/>
                <w:szCs w:val="20"/>
              </w:rPr>
            </w:pPr>
            <w:r w:rsidRPr="005B2ACA">
              <w:rPr>
                <w:rFonts w:ascii="Arial" w:hAnsi="Arial" w:cs="Arial"/>
                <w:sz w:val="20"/>
                <w:szCs w:val="20"/>
              </w:rPr>
              <w:t>4.2.3</w:t>
            </w:r>
          </w:p>
        </w:tc>
        <w:tc>
          <w:tcPr>
            <w:tcW w:w="7169" w:type="dxa"/>
            <w:tcMar/>
          </w:tcPr>
          <w:p w:rsidRPr="005B2ACA" w:rsidR="00772127" w:rsidP="005600B0" w:rsidRDefault="00772127" w14:paraId="44DDFD4C" w14:textId="77777777">
            <w:pPr>
              <w:rPr>
                <w:rFonts w:ascii="Arial" w:hAnsi="Arial" w:cs="Arial"/>
                <w:sz w:val="20"/>
                <w:szCs w:val="20"/>
              </w:rPr>
            </w:pPr>
            <w:r w:rsidRPr="005B2ACA">
              <w:rPr>
                <w:rFonts w:ascii="Arial" w:hAnsi="Arial" w:cs="Arial"/>
                <w:sz w:val="20"/>
                <w:szCs w:val="20"/>
              </w:rPr>
              <w:t>Clinical Exceptionality: Severity</w:t>
            </w:r>
          </w:p>
        </w:tc>
        <w:tc>
          <w:tcPr>
            <w:tcW w:w="797" w:type="dxa"/>
            <w:tcMar/>
          </w:tcPr>
          <w:p w:rsidRPr="005B2ACA" w:rsidR="00772127" w:rsidP="005600B0" w:rsidRDefault="00772127" w14:paraId="134B319E" w14:textId="77777777">
            <w:pPr>
              <w:rPr>
                <w:rFonts w:ascii="Arial" w:hAnsi="Arial" w:cs="Arial"/>
                <w:sz w:val="20"/>
                <w:szCs w:val="20"/>
              </w:rPr>
            </w:pPr>
            <w:r>
              <w:rPr>
                <w:rFonts w:ascii="Arial" w:hAnsi="Arial" w:cs="Arial"/>
                <w:sz w:val="20"/>
                <w:szCs w:val="20"/>
              </w:rPr>
              <w:t>8</w:t>
            </w:r>
          </w:p>
        </w:tc>
      </w:tr>
      <w:tr w:rsidRPr="005B2ACA" w:rsidR="00772127" w:rsidTr="6B9DE975" w14:paraId="62D9F287" w14:textId="77777777">
        <w:tc>
          <w:tcPr>
            <w:tcW w:w="1050" w:type="dxa"/>
            <w:tcMar/>
          </w:tcPr>
          <w:p w:rsidRPr="005B2ACA" w:rsidR="00772127" w:rsidP="005600B0" w:rsidRDefault="00772127" w14:paraId="150145E1" w14:textId="77777777">
            <w:pPr>
              <w:rPr>
                <w:rFonts w:ascii="Arial" w:hAnsi="Arial" w:cs="Arial"/>
                <w:sz w:val="20"/>
                <w:szCs w:val="20"/>
              </w:rPr>
            </w:pPr>
            <w:r w:rsidRPr="005B2ACA">
              <w:rPr>
                <w:rFonts w:ascii="Arial" w:hAnsi="Arial" w:cs="Arial"/>
                <w:sz w:val="20"/>
                <w:szCs w:val="20"/>
              </w:rPr>
              <w:t>4.2.4</w:t>
            </w:r>
          </w:p>
        </w:tc>
        <w:tc>
          <w:tcPr>
            <w:tcW w:w="7169" w:type="dxa"/>
            <w:tcMar/>
          </w:tcPr>
          <w:p w:rsidRPr="005B2ACA" w:rsidR="00772127" w:rsidP="005600B0" w:rsidRDefault="00772127" w14:paraId="6CE2820E" w14:textId="77777777">
            <w:pPr>
              <w:rPr>
                <w:rFonts w:ascii="Arial" w:hAnsi="Arial" w:cs="Arial"/>
                <w:sz w:val="20"/>
                <w:szCs w:val="20"/>
              </w:rPr>
            </w:pPr>
            <w:r w:rsidRPr="005B2ACA">
              <w:rPr>
                <w:rFonts w:ascii="Arial" w:hAnsi="Arial" w:cs="Arial"/>
                <w:sz w:val="20"/>
                <w:szCs w:val="20"/>
              </w:rPr>
              <w:t>Clinical Exceptionality: Multiple Grounds</w:t>
            </w:r>
          </w:p>
        </w:tc>
        <w:tc>
          <w:tcPr>
            <w:tcW w:w="797" w:type="dxa"/>
            <w:tcMar/>
          </w:tcPr>
          <w:p w:rsidRPr="005B2ACA" w:rsidR="00772127" w:rsidP="005600B0" w:rsidRDefault="00772127" w14:paraId="48A45191" w14:textId="77777777">
            <w:pPr>
              <w:rPr>
                <w:rFonts w:ascii="Arial" w:hAnsi="Arial" w:cs="Arial"/>
                <w:sz w:val="20"/>
                <w:szCs w:val="20"/>
              </w:rPr>
            </w:pPr>
            <w:r>
              <w:rPr>
                <w:rFonts w:ascii="Arial" w:hAnsi="Arial" w:cs="Arial"/>
                <w:sz w:val="20"/>
                <w:szCs w:val="20"/>
              </w:rPr>
              <w:t>8</w:t>
            </w:r>
          </w:p>
        </w:tc>
      </w:tr>
      <w:tr w:rsidRPr="005B2ACA" w:rsidR="00772127" w:rsidTr="6B9DE975" w14:paraId="2FC365AA" w14:textId="77777777">
        <w:tc>
          <w:tcPr>
            <w:tcW w:w="1050" w:type="dxa"/>
            <w:tcMar/>
          </w:tcPr>
          <w:p w:rsidRPr="005B2ACA" w:rsidR="00772127" w:rsidP="005600B0" w:rsidRDefault="00772127" w14:paraId="5E3A107D" w14:textId="77777777">
            <w:pPr>
              <w:rPr>
                <w:rFonts w:ascii="Arial" w:hAnsi="Arial" w:cs="Arial"/>
                <w:sz w:val="20"/>
                <w:szCs w:val="20"/>
              </w:rPr>
            </w:pPr>
            <w:r w:rsidRPr="005B2ACA">
              <w:rPr>
                <w:rFonts w:ascii="Arial" w:hAnsi="Arial" w:cs="Arial"/>
                <w:sz w:val="20"/>
                <w:szCs w:val="20"/>
              </w:rPr>
              <w:t>4.2.5</w:t>
            </w:r>
          </w:p>
        </w:tc>
        <w:tc>
          <w:tcPr>
            <w:tcW w:w="7169" w:type="dxa"/>
            <w:tcMar/>
          </w:tcPr>
          <w:p w:rsidRPr="005B2ACA" w:rsidR="00772127" w:rsidP="005600B0" w:rsidRDefault="00772127" w14:paraId="74977761" w14:textId="77777777">
            <w:pPr>
              <w:rPr>
                <w:rFonts w:ascii="Arial" w:hAnsi="Arial" w:cs="Arial"/>
                <w:sz w:val="20"/>
                <w:szCs w:val="20"/>
              </w:rPr>
            </w:pPr>
            <w:r w:rsidRPr="005B2ACA">
              <w:rPr>
                <w:rFonts w:ascii="Arial" w:hAnsi="Arial" w:cs="Arial"/>
                <w:sz w:val="20"/>
                <w:szCs w:val="20"/>
              </w:rPr>
              <w:t>Clinical Exceptionality: Non-Clinical and Social Factors</w:t>
            </w:r>
          </w:p>
        </w:tc>
        <w:tc>
          <w:tcPr>
            <w:tcW w:w="797" w:type="dxa"/>
            <w:tcMar/>
          </w:tcPr>
          <w:p w:rsidRPr="005B2ACA" w:rsidR="00772127" w:rsidP="005600B0" w:rsidRDefault="00772127" w14:paraId="71CBBA9F" w14:textId="77777777">
            <w:pPr>
              <w:rPr>
                <w:rFonts w:ascii="Arial" w:hAnsi="Arial" w:cs="Arial"/>
                <w:sz w:val="20"/>
                <w:szCs w:val="20"/>
              </w:rPr>
            </w:pPr>
            <w:r>
              <w:rPr>
                <w:rFonts w:ascii="Arial" w:hAnsi="Arial" w:cs="Arial"/>
                <w:sz w:val="20"/>
                <w:szCs w:val="20"/>
              </w:rPr>
              <w:t>9</w:t>
            </w:r>
          </w:p>
        </w:tc>
      </w:tr>
      <w:tr w:rsidRPr="005B2ACA" w:rsidR="00772127" w:rsidTr="6B9DE975" w14:paraId="080FA0D2" w14:textId="77777777">
        <w:tc>
          <w:tcPr>
            <w:tcW w:w="1050" w:type="dxa"/>
            <w:tcMar/>
          </w:tcPr>
          <w:p w:rsidRPr="005B2ACA" w:rsidR="00772127" w:rsidP="005600B0" w:rsidRDefault="00772127" w14:paraId="762006FE" w14:textId="77777777">
            <w:pPr>
              <w:rPr>
                <w:rFonts w:ascii="Arial" w:hAnsi="Arial" w:cs="Arial"/>
                <w:sz w:val="20"/>
                <w:szCs w:val="20"/>
              </w:rPr>
            </w:pPr>
            <w:r w:rsidRPr="005B2ACA">
              <w:rPr>
                <w:rFonts w:ascii="Arial" w:hAnsi="Arial" w:cs="Arial"/>
                <w:sz w:val="20"/>
                <w:szCs w:val="20"/>
              </w:rPr>
              <w:t>4.3</w:t>
            </w:r>
          </w:p>
        </w:tc>
        <w:tc>
          <w:tcPr>
            <w:tcW w:w="7169" w:type="dxa"/>
            <w:tcMar/>
          </w:tcPr>
          <w:p w:rsidRPr="005B2ACA" w:rsidR="00772127" w:rsidP="005600B0" w:rsidRDefault="00772127" w14:paraId="45B92F1E" w14:textId="77777777">
            <w:pPr>
              <w:rPr>
                <w:rFonts w:ascii="Arial" w:hAnsi="Arial" w:cs="Arial"/>
                <w:sz w:val="20"/>
                <w:szCs w:val="20"/>
              </w:rPr>
            </w:pPr>
            <w:r w:rsidRPr="005B2ACA">
              <w:rPr>
                <w:rFonts w:ascii="Arial" w:hAnsi="Arial" w:cs="Arial"/>
                <w:sz w:val="20"/>
                <w:szCs w:val="20"/>
              </w:rPr>
              <w:t xml:space="preserve">Clinical Effectiveness </w:t>
            </w:r>
          </w:p>
        </w:tc>
        <w:tc>
          <w:tcPr>
            <w:tcW w:w="797" w:type="dxa"/>
            <w:tcMar/>
          </w:tcPr>
          <w:p w:rsidRPr="005B2ACA" w:rsidR="00772127" w:rsidP="005600B0" w:rsidRDefault="00772127" w14:paraId="6C515AA7" w14:textId="77777777">
            <w:pPr>
              <w:rPr>
                <w:rFonts w:ascii="Arial" w:hAnsi="Arial" w:cs="Arial"/>
                <w:sz w:val="20"/>
                <w:szCs w:val="20"/>
              </w:rPr>
            </w:pPr>
            <w:r>
              <w:rPr>
                <w:rFonts w:ascii="Arial" w:hAnsi="Arial" w:cs="Arial"/>
                <w:sz w:val="20"/>
                <w:szCs w:val="20"/>
              </w:rPr>
              <w:t>10</w:t>
            </w:r>
          </w:p>
        </w:tc>
      </w:tr>
      <w:tr w:rsidRPr="005B2ACA" w:rsidR="00772127" w:rsidTr="6B9DE975" w14:paraId="32D688B7" w14:textId="77777777">
        <w:tc>
          <w:tcPr>
            <w:tcW w:w="1050" w:type="dxa"/>
            <w:tcMar/>
          </w:tcPr>
          <w:p w:rsidRPr="005B2ACA" w:rsidR="00772127" w:rsidP="005600B0" w:rsidRDefault="00772127" w14:paraId="5A995E59" w14:textId="77777777">
            <w:pPr>
              <w:rPr>
                <w:rFonts w:ascii="Arial" w:hAnsi="Arial" w:cs="Arial"/>
                <w:sz w:val="20"/>
                <w:szCs w:val="20"/>
              </w:rPr>
            </w:pPr>
            <w:r w:rsidRPr="005B2ACA">
              <w:rPr>
                <w:rFonts w:ascii="Arial" w:hAnsi="Arial" w:cs="Arial"/>
                <w:sz w:val="20"/>
                <w:szCs w:val="20"/>
              </w:rPr>
              <w:t>4.4</w:t>
            </w:r>
          </w:p>
        </w:tc>
        <w:tc>
          <w:tcPr>
            <w:tcW w:w="7169" w:type="dxa"/>
            <w:tcMar/>
          </w:tcPr>
          <w:p w:rsidRPr="005B2ACA" w:rsidR="00772127" w:rsidP="005600B0" w:rsidRDefault="00772127" w14:paraId="48C54FCD" w14:textId="77777777">
            <w:pPr>
              <w:rPr>
                <w:rFonts w:ascii="Arial" w:hAnsi="Arial" w:cs="Arial"/>
                <w:sz w:val="20"/>
                <w:szCs w:val="20"/>
              </w:rPr>
            </w:pPr>
            <w:r w:rsidRPr="005B2ACA">
              <w:rPr>
                <w:rFonts w:ascii="Arial" w:hAnsi="Arial" w:cs="Arial"/>
                <w:sz w:val="20"/>
                <w:szCs w:val="20"/>
              </w:rPr>
              <w:t>Clinical Effectiveness from Independently Funded or Arranged Treatment</w:t>
            </w:r>
          </w:p>
        </w:tc>
        <w:tc>
          <w:tcPr>
            <w:tcW w:w="797" w:type="dxa"/>
            <w:tcMar/>
          </w:tcPr>
          <w:p w:rsidRPr="005B2ACA" w:rsidR="00772127" w:rsidP="005600B0" w:rsidRDefault="00772127" w14:paraId="549352A6" w14:textId="77777777">
            <w:pPr>
              <w:rPr>
                <w:rFonts w:ascii="Arial" w:hAnsi="Arial" w:cs="Arial"/>
                <w:sz w:val="20"/>
                <w:szCs w:val="20"/>
              </w:rPr>
            </w:pPr>
            <w:r>
              <w:rPr>
                <w:rFonts w:ascii="Arial" w:hAnsi="Arial" w:cs="Arial"/>
                <w:sz w:val="20"/>
                <w:szCs w:val="20"/>
              </w:rPr>
              <w:t>10</w:t>
            </w:r>
          </w:p>
        </w:tc>
      </w:tr>
      <w:tr w:rsidRPr="005B2ACA" w:rsidR="00772127" w:rsidTr="6B9DE975" w14:paraId="141A2528" w14:textId="77777777">
        <w:tc>
          <w:tcPr>
            <w:tcW w:w="1050" w:type="dxa"/>
            <w:tcMar/>
          </w:tcPr>
          <w:p w:rsidRPr="005B2ACA" w:rsidR="00772127" w:rsidP="005600B0" w:rsidRDefault="00772127" w14:paraId="6B47A939" w14:textId="77777777">
            <w:pPr>
              <w:rPr>
                <w:rFonts w:ascii="Arial" w:hAnsi="Arial" w:cs="Arial"/>
                <w:sz w:val="20"/>
                <w:szCs w:val="20"/>
              </w:rPr>
            </w:pPr>
            <w:r w:rsidRPr="005B2ACA">
              <w:rPr>
                <w:rFonts w:ascii="Arial" w:hAnsi="Arial" w:cs="Arial"/>
                <w:sz w:val="20"/>
                <w:szCs w:val="20"/>
              </w:rPr>
              <w:t>4.5</w:t>
            </w:r>
          </w:p>
        </w:tc>
        <w:tc>
          <w:tcPr>
            <w:tcW w:w="7169" w:type="dxa"/>
            <w:tcMar/>
          </w:tcPr>
          <w:p w:rsidRPr="005B2ACA" w:rsidR="00772127" w:rsidP="005600B0" w:rsidRDefault="00772127" w14:paraId="3733DA42" w14:textId="77777777">
            <w:pPr>
              <w:rPr>
                <w:rFonts w:ascii="Arial" w:hAnsi="Arial" w:cs="Arial"/>
                <w:sz w:val="20"/>
                <w:szCs w:val="20"/>
              </w:rPr>
            </w:pPr>
            <w:proofErr w:type="gramStart"/>
            <w:r w:rsidRPr="005B2ACA">
              <w:rPr>
                <w:rFonts w:ascii="Arial" w:hAnsi="Arial" w:cs="Arial"/>
                <w:sz w:val="20"/>
                <w:szCs w:val="20"/>
              </w:rPr>
              <w:t>Good use</w:t>
            </w:r>
            <w:proofErr w:type="gramEnd"/>
            <w:r w:rsidRPr="005B2ACA">
              <w:rPr>
                <w:rFonts w:ascii="Arial" w:hAnsi="Arial" w:cs="Arial"/>
                <w:sz w:val="20"/>
                <w:szCs w:val="20"/>
              </w:rPr>
              <w:t xml:space="preserve"> of NHS Resources</w:t>
            </w:r>
          </w:p>
        </w:tc>
        <w:tc>
          <w:tcPr>
            <w:tcW w:w="797" w:type="dxa"/>
            <w:tcMar/>
          </w:tcPr>
          <w:p w:rsidRPr="005B2ACA" w:rsidR="00772127" w:rsidP="005600B0" w:rsidRDefault="00772127" w14:paraId="5B48D4D7" w14:textId="77777777">
            <w:pPr>
              <w:rPr>
                <w:rFonts w:ascii="Arial" w:hAnsi="Arial" w:cs="Arial"/>
                <w:sz w:val="20"/>
                <w:szCs w:val="20"/>
              </w:rPr>
            </w:pPr>
            <w:r>
              <w:rPr>
                <w:rFonts w:ascii="Arial" w:hAnsi="Arial" w:cs="Arial"/>
                <w:sz w:val="20"/>
                <w:szCs w:val="20"/>
              </w:rPr>
              <w:t>11</w:t>
            </w:r>
          </w:p>
        </w:tc>
      </w:tr>
      <w:tr w:rsidRPr="005B2ACA" w:rsidR="00772127" w:rsidTr="6B9DE975" w14:paraId="313F5F40" w14:textId="77777777">
        <w:tc>
          <w:tcPr>
            <w:tcW w:w="1050" w:type="dxa"/>
            <w:tcMar/>
          </w:tcPr>
          <w:p w:rsidRPr="005B2ACA" w:rsidR="00772127" w:rsidP="005600B0" w:rsidRDefault="00772127" w14:paraId="4A103C55" w14:textId="77777777">
            <w:pPr>
              <w:rPr>
                <w:rFonts w:ascii="Arial" w:hAnsi="Arial" w:cs="Arial"/>
                <w:sz w:val="20"/>
                <w:szCs w:val="20"/>
              </w:rPr>
            </w:pPr>
            <w:r w:rsidRPr="005B2ACA">
              <w:rPr>
                <w:rFonts w:ascii="Arial" w:hAnsi="Arial" w:cs="Arial"/>
                <w:sz w:val="20"/>
                <w:szCs w:val="20"/>
              </w:rPr>
              <w:t>4.6</w:t>
            </w:r>
          </w:p>
        </w:tc>
        <w:tc>
          <w:tcPr>
            <w:tcW w:w="7169" w:type="dxa"/>
            <w:tcMar/>
          </w:tcPr>
          <w:p w:rsidRPr="005B2ACA" w:rsidR="00772127" w:rsidP="005600B0" w:rsidRDefault="00772127" w14:paraId="6BE769AF" w14:textId="77777777">
            <w:pPr>
              <w:rPr>
                <w:rFonts w:ascii="Arial" w:hAnsi="Arial" w:cs="Arial"/>
                <w:sz w:val="20"/>
                <w:szCs w:val="20"/>
              </w:rPr>
            </w:pPr>
            <w:r w:rsidRPr="005B2ACA">
              <w:rPr>
                <w:rFonts w:ascii="Arial" w:hAnsi="Arial" w:cs="Arial"/>
                <w:sz w:val="20"/>
                <w:szCs w:val="20"/>
              </w:rPr>
              <w:t xml:space="preserve">Business Cases for Service Development </w:t>
            </w:r>
          </w:p>
        </w:tc>
        <w:tc>
          <w:tcPr>
            <w:tcW w:w="797" w:type="dxa"/>
            <w:tcMar/>
          </w:tcPr>
          <w:p w:rsidRPr="005B2ACA" w:rsidR="00772127" w:rsidP="005600B0" w:rsidRDefault="00772127" w14:paraId="27CE527D" w14:textId="77777777">
            <w:pPr>
              <w:rPr>
                <w:rFonts w:ascii="Arial" w:hAnsi="Arial" w:cs="Arial"/>
                <w:sz w:val="20"/>
                <w:szCs w:val="20"/>
              </w:rPr>
            </w:pPr>
            <w:r>
              <w:rPr>
                <w:rFonts w:ascii="Arial" w:hAnsi="Arial" w:cs="Arial"/>
                <w:sz w:val="20"/>
                <w:szCs w:val="20"/>
              </w:rPr>
              <w:t>12</w:t>
            </w:r>
          </w:p>
        </w:tc>
      </w:tr>
      <w:tr w:rsidRPr="005B2ACA" w:rsidR="00772127" w:rsidTr="6B9DE975" w14:paraId="5C63D1F2" w14:textId="77777777">
        <w:tc>
          <w:tcPr>
            <w:tcW w:w="1050" w:type="dxa"/>
            <w:tcMar/>
          </w:tcPr>
          <w:p w:rsidRPr="005B2ACA" w:rsidR="00772127" w:rsidP="005600B0" w:rsidRDefault="00772127" w14:paraId="6735EBEB" w14:textId="77777777">
            <w:pPr>
              <w:rPr>
                <w:rFonts w:ascii="Arial" w:hAnsi="Arial" w:cs="Arial"/>
                <w:sz w:val="20"/>
                <w:szCs w:val="20"/>
              </w:rPr>
            </w:pPr>
            <w:r w:rsidRPr="005B2ACA">
              <w:rPr>
                <w:rFonts w:ascii="Arial" w:hAnsi="Arial" w:cs="Arial"/>
                <w:sz w:val="20"/>
                <w:szCs w:val="20"/>
              </w:rPr>
              <w:t>4.7</w:t>
            </w:r>
          </w:p>
        </w:tc>
        <w:tc>
          <w:tcPr>
            <w:tcW w:w="7169" w:type="dxa"/>
            <w:tcMar/>
          </w:tcPr>
          <w:p w:rsidRPr="005B2ACA" w:rsidR="00772127" w:rsidP="005600B0" w:rsidRDefault="00772127" w14:paraId="1AA89620" w14:textId="77777777">
            <w:pPr>
              <w:rPr>
                <w:rFonts w:ascii="Arial" w:hAnsi="Arial" w:cs="Arial"/>
                <w:sz w:val="20"/>
                <w:szCs w:val="20"/>
              </w:rPr>
            </w:pPr>
            <w:r w:rsidRPr="005B2ACA">
              <w:rPr>
                <w:rFonts w:ascii="Arial" w:hAnsi="Arial" w:cs="Arial"/>
                <w:sz w:val="20"/>
                <w:szCs w:val="20"/>
              </w:rPr>
              <w:t>Funding Duration</w:t>
            </w:r>
          </w:p>
        </w:tc>
        <w:tc>
          <w:tcPr>
            <w:tcW w:w="797" w:type="dxa"/>
            <w:tcMar/>
          </w:tcPr>
          <w:p w:rsidRPr="005B2ACA" w:rsidR="00772127" w:rsidP="005600B0" w:rsidRDefault="00772127" w14:paraId="509417D9" w14:textId="77777777">
            <w:pPr>
              <w:rPr>
                <w:rFonts w:ascii="Arial" w:hAnsi="Arial" w:cs="Arial"/>
                <w:sz w:val="20"/>
                <w:szCs w:val="20"/>
              </w:rPr>
            </w:pPr>
            <w:r>
              <w:rPr>
                <w:rFonts w:ascii="Arial" w:hAnsi="Arial" w:cs="Arial"/>
                <w:sz w:val="20"/>
                <w:szCs w:val="20"/>
              </w:rPr>
              <w:t>12</w:t>
            </w:r>
          </w:p>
        </w:tc>
      </w:tr>
      <w:tr w:rsidRPr="005B2ACA" w:rsidR="00772127" w:rsidTr="6B9DE975" w14:paraId="3C868B9F" w14:textId="77777777">
        <w:tc>
          <w:tcPr>
            <w:tcW w:w="1050" w:type="dxa"/>
            <w:tcMar/>
          </w:tcPr>
          <w:p w:rsidRPr="005B2ACA" w:rsidR="00772127" w:rsidP="005600B0" w:rsidRDefault="00772127" w14:paraId="7C7A2340" w14:textId="77777777">
            <w:pPr>
              <w:rPr>
                <w:rFonts w:ascii="Arial" w:hAnsi="Arial" w:cs="Arial"/>
                <w:sz w:val="20"/>
                <w:szCs w:val="20"/>
              </w:rPr>
            </w:pPr>
            <w:r w:rsidRPr="005B2ACA">
              <w:rPr>
                <w:rFonts w:ascii="Arial" w:hAnsi="Arial" w:cs="Arial"/>
                <w:sz w:val="20"/>
                <w:szCs w:val="20"/>
              </w:rPr>
              <w:t>4.8</w:t>
            </w:r>
          </w:p>
        </w:tc>
        <w:tc>
          <w:tcPr>
            <w:tcW w:w="7169" w:type="dxa"/>
            <w:tcMar/>
          </w:tcPr>
          <w:p w:rsidRPr="005B2ACA" w:rsidR="00772127" w:rsidP="005600B0" w:rsidRDefault="00772127" w14:paraId="74A7557E" w14:textId="77777777">
            <w:pPr>
              <w:rPr>
                <w:rFonts w:ascii="Arial" w:hAnsi="Arial" w:cs="Arial"/>
                <w:sz w:val="20"/>
                <w:szCs w:val="20"/>
              </w:rPr>
            </w:pPr>
            <w:r w:rsidRPr="005B2ACA">
              <w:rPr>
                <w:rFonts w:ascii="Arial" w:hAnsi="Arial" w:cs="Arial"/>
                <w:sz w:val="20"/>
                <w:szCs w:val="20"/>
              </w:rPr>
              <w:t xml:space="preserve">Decisions Inherited from Other Commissioners </w:t>
            </w:r>
            <w:proofErr w:type="gramStart"/>
            <w:r w:rsidRPr="005B2ACA">
              <w:rPr>
                <w:rFonts w:ascii="Arial" w:hAnsi="Arial" w:cs="Arial"/>
                <w:sz w:val="20"/>
                <w:szCs w:val="20"/>
              </w:rPr>
              <w:t xml:space="preserve">e.g.  </w:t>
            </w:r>
            <w:proofErr w:type="gramEnd"/>
            <w:r w:rsidRPr="005B2ACA">
              <w:rPr>
                <w:rFonts w:ascii="Arial" w:hAnsi="Arial" w:cs="Arial"/>
                <w:sz w:val="20"/>
                <w:szCs w:val="20"/>
              </w:rPr>
              <w:t>patients who move</w:t>
            </w:r>
          </w:p>
        </w:tc>
        <w:tc>
          <w:tcPr>
            <w:tcW w:w="797" w:type="dxa"/>
            <w:tcMar/>
          </w:tcPr>
          <w:p w:rsidRPr="005B2ACA" w:rsidR="00772127" w:rsidP="005600B0" w:rsidRDefault="00772127" w14:paraId="5287BDBB" w14:textId="77777777">
            <w:pPr>
              <w:rPr>
                <w:rFonts w:ascii="Arial" w:hAnsi="Arial" w:cs="Arial"/>
                <w:sz w:val="20"/>
                <w:szCs w:val="20"/>
              </w:rPr>
            </w:pPr>
            <w:r>
              <w:rPr>
                <w:rFonts w:ascii="Arial" w:hAnsi="Arial" w:cs="Arial"/>
                <w:sz w:val="20"/>
                <w:szCs w:val="20"/>
              </w:rPr>
              <w:t>12</w:t>
            </w:r>
          </w:p>
        </w:tc>
      </w:tr>
      <w:tr w:rsidRPr="005B2ACA" w:rsidR="00772127" w:rsidTr="6B9DE975" w14:paraId="32D19A85" w14:textId="77777777">
        <w:tc>
          <w:tcPr>
            <w:tcW w:w="1050" w:type="dxa"/>
            <w:tcMar/>
          </w:tcPr>
          <w:p w:rsidRPr="005B2ACA" w:rsidR="00772127" w:rsidP="005600B0" w:rsidRDefault="00772127" w14:paraId="10A720B1" w14:textId="77777777">
            <w:pPr>
              <w:rPr>
                <w:rFonts w:ascii="Arial" w:hAnsi="Arial" w:cs="Arial"/>
                <w:sz w:val="20"/>
                <w:szCs w:val="20"/>
              </w:rPr>
            </w:pPr>
            <w:r>
              <w:rPr>
                <w:rFonts w:ascii="Arial" w:hAnsi="Arial" w:cs="Arial"/>
                <w:sz w:val="20"/>
                <w:szCs w:val="20"/>
              </w:rPr>
              <w:t>4.9</w:t>
            </w:r>
          </w:p>
        </w:tc>
        <w:tc>
          <w:tcPr>
            <w:tcW w:w="7169" w:type="dxa"/>
            <w:tcMar/>
          </w:tcPr>
          <w:p w:rsidRPr="00BE6C51" w:rsidR="00772127" w:rsidP="005600B0" w:rsidRDefault="00772127" w14:paraId="769DD62D" w14:textId="77777777">
            <w:pPr>
              <w:rPr>
                <w:rFonts w:ascii="Arial" w:hAnsi="Arial" w:cs="Arial"/>
                <w:sz w:val="20"/>
                <w:szCs w:val="20"/>
              </w:rPr>
            </w:pPr>
            <w:r w:rsidRPr="00BE6C51">
              <w:rPr>
                <w:rFonts w:ascii="Arial" w:hAnsi="Arial" w:cs="Arial"/>
                <w:sz w:val="20"/>
                <w:szCs w:val="20"/>
                <w:lang w:val="en-GB"/>
              </w:rPr>
              <w:t>One-Off Referrals to Non-Contracted Providers</w:t>
            </w:r>
          </w:p>
        </w:tc>
        <w:tc>
          <w:tcPr>
            <w:tcW w:w="797" w:type="dxa"/>
            <w:tcMar/>
          </w:tcPr>
          <w:p w:rsidRPr="005B2ACA" w:rsidR="00772127" w:rsidP="005600B0" w:rsidRDefault="00772127" w14:paraId="202E7F2D" w14:textId="77777777">
            <w:pPr>
              <w:rPr>
                <w:rFonts w:ascii="Arial" w:hAnsi="Arial" w:cs="Arial"/>
                <w:sz w:val="20"/>
                <w:szCs w:val="20"/>
              </w:rPr>
            </w:pPr>
            <w:r>
              <w:rPr>
                <w:rFonts w:ascii="Arial" w:hAnsi="Arial" w:cs="Arial"/>
                <w:sz w:val="20"/>
                <w:szCs w:val="20"/>
              </w:rPr>
              <w:t>12</w:t>
            </w:r>
          </w:p>
        </w:tc>
      </w:tr>
      <w:tr w:rsidRPr="005B2ACA" w:rsidR="00772127" w:rsidTr="6B9DE975" w14:paraId="33EFA401" w14:textId="77777777">
        <w:tc>
          <w:tcPr>
            <w:tcW w:w="1050" w:type="dxa"/>
            <w:tcMar/>
          </w:tcPr>
          <w:p w:rsidRPr="005B2ACA" w:rsidR="00772127" w:rsidP="005600B0" w:rsidRDefault="00772127" w14:paraId="2E21AA7F" w14:textId="77777777">
            <w:pPr>
              <w:rPr>
                <w:rFonts w:ascii="Arial" w:hAnsi="Arial" w:cs="Arial"/>
                <w:sz w:val="20"/>
                <w:szCs w:val="20"/>
              </w:rPr>
            </w:pPr>
            <w:r w:rsidRPr="005B2ACA">
              <w:rPr>
                <w:rFonts w:ascii="Arial" w:hAnsi="Arial" w:cs="Arial"/>
                <w:sz w:val="20"/>
                <w:szCs w:val="20"/>
              </w:rPr>
              <w:t>4.</w:t>
            </w:r>
            <w:r>
              <w:rPr>
                <w:rFonts w:ascii="Arial" w:hAnsi="Arial" w:cs="Arial"/>
                <w:sz w:val="20"/>
                <w:szCs w:val="20"/>
              </w:rPr>
              <w:t>10</w:t>
            </w:r>
          </w:p>
        </w:tc>
        <w:tc>
          <w:tcPr>
            <w:tcW w:w="7169" w:type="dxa"/>
            <w:tcMar/>
          </w:tcPr>
          <w:p w:rsidRPr="005B2ACA" w:rsidR="00772127" w:rsidP="005600B0" w:rsidRDefault="00772127" w14:paraId="5C969D3B" w14:textId="77777777">
            <w:pPr>
              <w:rPr>
                <w:rFonts w:ascii="Arial" w:hAnsi="Arial" w:cs="Arial"/>
                <w:sz w:val="20"/>
                <w:szCs w:val="20"/>
              </w:rPr>
            </w:pPr>
            <w:r w:rsidRPr="005B2ACA">
              <w:rPr>
                <w:rFonts w:ascii="Arial" w:hAnsi="Arial" w:cs="Arial"/>
                <w:sz w:val="20"/>
                <w:szCs w:val="20"/>
              </w:rPr>
              <w:t>Personal Health Budgets &amp; Equipment</w:t>
            </w:r>
          </w:p>
        </w:tc>
        <w:tc>
          <w:tcPr>
            <w:tcW w:w="797" w:type="dxa"/>
            <w:tcMar/>
          </w:tcPr>
          <w:p w:rsidRPr="005B2ACA" w:rsidR="00772127" w:rsidP="005600B0" w:rsidRDefault="00772127" w14:paraId="191ACB22" w14:textId="77777777">
            <w:pPr>
              <w:rPr>
                <w:rFonts w:ascii="Arial" w:hAnsi="Arial" w:cs="Arial"/>
                <w:sz w:val="20"/>
                <w:szCs w:val="20"/>
              </w:rPr>
            </w:pPr>
            <w:r>
              <w:rPr>
                <w:rFonts w:ascii="Arial" w:hAnsi="Arial" w:cs="Arial"/>
                <w:sz w:val="20"/>
                <w:szCs w:val="20"/>
              </w:rPr>
              <w:t>13</w:t>
            </w:r>
          </w:p>
        </w:tc>
      </w:tr>
      <w:tr w:rsidRPr="005B2ACA" w:rsidR="00772127" w:rsidTr="6B9DE975" w14:paraId="3F5A9DC2" w14:textId="77777777">
        <w:tc>
          <w:tcPr>
            <w:tcW w:w="1050" w:type="dxa"/>
            <w:tcMar/>
          </w:tcPr>
          <w:p w:rsidRPr="005B2ACA" w:rsidR="00772127" w:rsidP="005600B0" w:rsidRDefault="00772127" w14:paraId="0B738D3D" w14:textId="77777777">
            <w:pPr>
              <w:rPr>
                <w:rFonts w:ascii="Arial" w:hAnsi="Arial" w:cs="Arial"/>
                <w:sz w:val="20"/>
                <w:szCs w:val="20"/>
              </w:rPr>
            </w:pPr>
            <w:r w:rsidRPr="005B2ACA">
              <w:rPr>
                <w:rFonts w:ascii="Arial" w:hAnsi="Arial" w:cs="Arial"/>
                <w:sz w:val="20"/>
                <w:szCs w:val="20"/>
              </w:rPr>
              <w:t>4.1</w:t>
            </w:r>
            <w:r>
              <w:rPr>
                <w:rFonts w:ascii="Arial" w:hAnsi="Arial" w:cs="Arial"/>
                <w:sz w:val="20"/>
                <w:szCs w:val="20"/>
              </w:rPr>
              <w:t>1</w:t>
            </w:r>
          </w:p>
        </w:tc>
        <w:tc>
          <w:tcPr>
            <w:tcW w:w="7169" w:type="dxa"/>
            <w:tcMar/>
          </w:tcPr>
          <w:p w:rsidRPr="005B2ACA" w:rsidR="00772127" w:rsidP="005600B0" w:rsidRDefault="00772127" w14:paraId="6AFE0C96" w14:textId="77777777">
            <w:pPr>
              <w:rPr>
                <w:rFonts w:ascii="Arial" w:hAnsi="Arial" w:cs="Arial"/>
                <w:sz w:val="20"/>
                <w:szCs w:val="20"/>
              </w:rPr>
            </w:pPr>
            <w:r w:rsidRPr="005B2ACA">
              <w:rPr>
                <w:rFonts w:ascii="Arial" w:hAnsi="Arial" w:cs="Arial"/>
                <w:sz w:val="20"/>
                <w:szCs w:val="20"/>
              </w:rPr>
              <w:t>Specialised Treatments</w:t>
            </w:r>
          </w:p>
        </w:tc>
        <w:tc>
          <w:tcPr>
            <w:tcW w:w="797" w:type="dxa"/>
            <w:tcMar/>
          </w:tcPr>
          <w:p w:rsidRPr="005B2ACA" w:rsidR="00772127" w:rsidP="005600B0" w:rsidRDefault="00772127" w14:paraId="2F35D5DF" w14:textId="77777777">
            <w:pPr>
              <w:rPr>
                <w:rFonts w:ascii="Arial" w:hAnsi="Arial" w:cs="Arial"/>
                <w:sz w:val="20"/>
                <w:szCs w:val="20"/>
              </w:rPr>
            </w:pPr>
            <w:r>
              <w:rPr>
                <w:rFonts w:ascii="Arial" w:hAnsi="Arial" w:cs="Arial"/>
                <w:sz w:val="20"/>
                <w:szCs w:val="20"/>
              </w:rPr>
              <w:t>13</w:t>
            </w:r>
          </w:p>
        </w:tc>
      </w:tr>
      <w:tr w:rsidRPr="005B2ACA" w:rsidR="00772127" w:rsidTr="6B9DE975" w14:paraId="1E758FD3" w14:textId="77777777">
        <w:tc>
          <w:tcPr>
            <w:tcW w:w="1050" w:type="dxa"/>
            <w:tcMar/>
          </w:tcPr>
          <w:p w:rsidRPr="005B2ACA" w:rsidR="00772127" w:rsidP="005600B0" w:rsidRDefault="00772127" w14:paraId="1262FBD6" w14:textId="77777777">
            <w:pPr>
              <w:rPr>
                <w:rFonts w:ascii="Arial" w:hAnsi="Arial" w:cs="Arial"/>
                <w:sz w:val="20"/>
                <w:szCs w:val="20"/>
              </w:rPr>
            </w:pPr>
            <w:r w:rsidRPr="005B2ACA">
              <w:rPr>
                <w:rFonts w:ascii="Arial" w:hAnsi="Arial" w:cs="Arial"/>
                <w:sz w:val="20"/>
                <w:szCs w:val="20"/>
              </w:rPr>
              <w:t>4.1</w:t>
            </w:r>
            <w:r>
              <w:rPr>
                <w:rFonts w:ascii="Arial" w:hAnsi="Arial" w:cs="Arial"/>
                <w:sz w:val="20"/>
                <w:szCs w:val="20"/>
              </w:rPr>
              <w:t>2</w:t>
            </w:r>
          </w:p>
        </w:tc>
        <w:tc>
          <w:tcPr>
            <w:tcW w:w="7169" w:type="dxa"/>
            <w:tcMar/>
          </w:tcPr>
          <w:p w:rsidRPr="005B2ACA" w:rsidR="00772127" w:rsidP="005600B0" w:rsidRDefault="00772127" w14:paraId="7A640AD8" w14:textId="77777777">
            <w:pPr>
              <w:rPr>
                <w:rFonts w:ascii="Arial" w:hAnsi="Arial" w:cs="Arial"/>
                <w:sz w:val="20"/>
                <w:szCs w:val="20"/>
              </w:rPr>
            </w:pPr>
            <w:r w:rsidRPr="005B2ACA">
              <w:rPr>
                <w:rFonts w:ascii="Arial" w:hAnsi="Arial" w:cs="Arial"/>
                <w:sz w:val="20"/>
                <w:szCs w:val="20"/>
              </w:rPr>
              <w:t xml:space="preserve">Experimental Treatments and Clinical Trials </w:t>
            </w:r>
          </w:p>
        </w:tc>
        <w:tc>
          <w:tcPr>
            <w:tcW w:w="797" w:type="dxa"/>
            <w:tcMar/>
          </w:tcPr>
          <w:p w:rsidRPr="005B2ACA" w:rsidR="00772127" w:rsidP="005600B0" w:rsidRDefault="00772127" w14:paraId="6B00F2F5" w14:textId="77777777">
            <w:pPr>
              <w:rPr>
                <w:rFonts w:ascii="Arial" w:hAnsi="Arial" w:cs="Arial"/>
                <w:sz w:val="20"/>
                <w:szCs w:val="20"/>
              </w:rPr>
            </w:pPr>
            <w:r>
              <w:rPr>
                <w:rFonts w:ascii="Arial" w:hAnsi="Arial" w:cs="Arial"/>
                <w:sz w:val="20"/>
                <w:szCs w:val="20"/>
              </w:rPr>
              <w:t>13</w:t>
            </w:r>
          </w:p>
        </w:tc>
      </w:tr>
      <w:tr w:rsidRPr="005B2ACA" w:rsidR="00772127" w:rsidTr="6B9DE975" w14:paraId="0CE260A4" w14:textId="77777777">
        <w:tc>
          <w:tcPr>
            <w:tcW w:w="1050" w:type="dxa"/>
            <w:tcMar/>
          </w:tcPr>
          <w:p w:rsidRPr="005B2ACA" w:rsidR="00772127" w:rsidP="005600B0" w:rsidRDefault="00772127" w14:paraId="1F1B5E02" w14:textId="77777777">
            <w:pPr>
              <w:rPr>
                <w:rFonts w:ascii="Arial" w:hAnsi="Arial" w:cs="Arial"/>
                <w:sz w:val="20"/>
                <w:szCs w:val="20"/>
              </w:rPr>
            </w:pPr>
            <w:r w:rsidRPr="005B2ACA">
              <w:rPr>
                <w:rFonts w:ascii="Arial" w:hAnsi="Arial" w:cs="Arial"/>
                <w:sz w:val="20"/>
                <w:szCs w:val="20"/>
              </w:rPr>
              <w:t>4.1</w:t>
            </w:r>
            <w:r>
              <w:rPr>
                <w:rFonts w:ascii="Arial" w:hAnsi="Arial" w:cs="Arial"/>
                <w:sz w:val="20"/>
                <w:szCs w:val="20"/>
              </w:rPr>
              <w:t>3</w:t>
            </w:r>
          </w:p>
        </w:tc>
        <w:tc>
          <w:tcPr>
            <w:tcW w:w="7169" w:type="dxa"/>
            <w:tcMar/>
          </w:tcPr>
          <w:p w:rsidRPr="005B2ACA" w:rsidR="00772127" w:rsidP="005600B0" w:rsidRDefault="00772127" w14:paraId="77F229B9" w14:textId="77777777">
            <w:pPr>
              <w:rPr>
                <w:rFonts w:ascii="Arial" w:hAnsi="Arial" w:cs="Arial"/>
                <w:sz w:val="20"/>
                <w:szCs w:val="20"/>
              </w:rPr>
            </w:pPr>
            <w:r w:rsidRPr="005B2ACA">
              <w:rPr>
                <w:rFonts w:ascii="Arial" w:hAnsi="Arial" w:cs="Arial"/>
                <w:sz w:val="20"/>
                <w:szCs w:val="20"/>
              </w:rPr>
              <w:t>Funding for Cases Following a Clinical Trial</w:t>
            </w:r>
          </w:p>
        </w:tc>
        <w:tc>
          <w:tcPr>
            <w:tcW w:w="797" w:type="dxa"/>
            <w:tcMar/>
          </w:tcPr>
          <w:p w:rsidRPr="005B2ACA" w:rsidR="00772127" w:rsidP="005600B0" w:rsidRDefault="00772127" w14:paraId="2037847D" w14:textId="77777777">
            <w:pPr>
              <w:rPr>
                <w:rFonts w:ascii="Arial" w:hAnsi="Arial" w:cs="Arial"/>
                <w:sz w:val="20"/>
                <w:szCs w:val="20"/>
              </w:rPr>
            </w:pPr>
            <w:r>
              <w:rPr>
                <w:rFonts w:ascii="Arial" w:hAnsi="Arial" w:cs="Arial"/>
                <w:sz w:val="20"/>
                <w:szCs w:val="20"/>
              </w:rPr>
              <w:t>14</w:t>
            </w:r>
          </w:p>
        </w:tc>
      </w:tr>
      <w:tr w:rsidRPr="005B2ACA" w:rsidR="00772127" w:rsidTr="6B9DE975" w14:paraId="09F721F5" w14:textId="77777777">
        <w:tc>
          <w:tcPr>
            <w:tcW w:w="1050" w:type="dxa"/>
            <w:tcMar/>
          </w:tcPr>
          <w:p w:rsidRPr="005B2ACA" w:rsidR="00772127" w:rsidP="005600B0" w:rsidRDefault="00772127" w14:paraId="63A23404" w14:textId="77777777">
            <w:pPr>
              <w:rPr>
                <w:rFonts w:ascii="Arial" w:hAnsi="Arial" w:cs="Arial"/>
                <w:sz w:val="20"/>
                <w:szCs w:val="20"/>
              </w:rPr>
            </w:pPr>
            <w:r>
              <w:rPr>
                <w:rFonts w:ascii="Arial" w:hAnsi="Arial" w:cs="Arial"/>
                <w:sz w:val="20"/>
                <w:szCs w:val="20"/>
              </w:rPr>
              <w:t>5</w:t>
            </w:r>
          </w:p>
        </w:tc>
        <w:tc>
          <w:tcPr>
            <w:tcW w:w="7169" w:type="dxa"/>
            <w:tcMar/>
          </w:tcPr>
          <w:p w:rsidRPr="005B2ACA" w:rsidR="00772127" w:rsidP="005600B0" w:rsidRDefault="00772127" w14:paraId="60B25F62" w14:textId="77777777">
            <w:pPr>
              <w:rPr>
                <w:rFonts w:ascii="Arial" w:hAnsi="Arial" w:cs="Arial"/>
                <w:sz w:val="20"/>
                <w:szCs w:val="20"/>
              </w:rPr>
            </w:pPr>
            <w:r>
              <w:rPr>
                <w:rFonts w:ascii="Arial" w:hAnsi="Arial" w:cs="Arial"/>
                <w:sz w:val="20"/>
                <w:szCs w:val="20"/>
              </w:rPr>
              <w:t>Definitions</w:t>
            </w:r>
          </w:p>
        </w:tc>
        <w:tc>
          <w:tcPr>
            <w:tcW w:w="797" w:type="dxa"/>
            <w:tcMar/>
          </w:tcPr>
          <w:p w:rsidRPr="005B2ACA" w:rsidR="00772127" w:rsidP="005600B0" w:rsidRDefault="00772127" w14:paraId="36021BF4" w14:textId="77777777">
            <w:pPr>
              <w:rPr>
                <w:rFonts w:ascii="Arial" w:hAnsi="Arial" w:cs="Arial"/>
                <w:sz w:val="20"/>
                <w:szCs w:val="20"/>
              </w:rPr>
            </w:pPr>
            <w:r>
              <w:rPr>
                <w:rFonts w:ascii="Arial" w:hAnsi="Arial" w:cs="Arial"/>
                <w:sz w:val="20"/>
                <w:szCs w:val="20"/>
              </w:rPr>
              <w:t>14</w:t>
            </w:r>
          </w:p>
        </w:tc>
      </w:tr>
      <w:tr w:rsidRPr="005B2ACA" w:rsidR="00772127" w:rsidTr="6B9DE975" w14:paraId="0EE28F41" w14:textId="77777777">
        <w:tc>
          <w:tcPr>
            <w:tcW w:w="1050" w:type="dxa"/>
            <w:tcMar/>
          </w:tcPr>
          <w:p w:rsidRPr="005B2ACA" w:rsidR="00772127" w:rsidP="005600B0" w:rsidRDefault="00772127" w14:paraId="68DE5DF6" w14:textId="77777777">
            <w:pPr>
              <w:rPr>
                <w:rFonts w:ascii="Arial" w:hAnsi="Arial" w:cs="Arial"/>
                <w:sz w:val="20"/>
                <w:szCs w:val="20"/>
              </w:rPr>
            </w:pPr>
            <w:r>
              <w:rPr>
                <w:rFonts w:ascii="Arial" w:hAnsi="Arial" w:cs="Arial"/>
                <w:sz w:val="20"/>
                <w:szCs w:val="20"/>
              </w:rPr>
              <w:t>6</w:t>
            </w:r>
          </w:p>
        </w:tc>
        <w:tc>
          <w:tcPr>
            <w:tcW w:w="7169" w:type="dxa"/>
            <w:tcMar/>
          </w:tcPr>
          <w:p w:rsidRPr="005B2ACA" w:rsidR="00772127" w:rsidP="005600B0" w:rsidRDefault="00772127" w14:paraId="35C79BC8" w14:textId="77777777">
            <w:pPr>
              <w:rPr>
                <w:rFonts w:ascii="Arial" w:hAnsi="Arial" w:cs="Arial"/>
                <w:sz w:val="20"/>
                <w:szCs w:val="20"/>
              </w:rPr>
            </w:pPr>
            <w:r>
              <w:rPr>
                <w:rFonts w:ascii="Arial" w:hAnsi="Arial" w:cs="Arial"/>
                <w:sz w:val="20"/>
                <w:szCs w:val="20"/>
              </w:rPr>
              <w:t>Role and Responsibilities</w:t>
            </w:r>
          </w:p>
        </w:tc>
        <w:tc>
          <w:tcPr>
            <w:tcW w:w="797" w:type="dxa"/>
            <w:tcMar/>
          </w:tcPr>
          <w:p w:rsidRPr="005B2ACA" w:rsidR="00772127" w:rsidP="005600B0" w:rsidRDefault="00772127" w14:paraId="45B01355" w14:textId="77777777">
            <w:pPr>
              <w:rPr>
                <w:rFonts w:ascii="Arial" w:hAnsi="Arial" w:cs="Arial"/>
                <w:sz w:val="20"/>
                <w:szCs w:val="20"/>
              </w:rPr>
            </w:pPr>
            <w:r>
              <w:rPr>
                <w:rFonts w:ascii="Arial" w:hAnsi="Arial" w:cs="Arial"/>
                <w:sz w:val="20"/>
                <w:szCs w:val="20"/>
              </w:rPr>
              <w:t>15</w:t>
            </w:r>
          </w:p>
        </w:tc>
      </w:tr>
      <w:tr w:rsidRPr="005B2ACA" w:rsidR="00772127" w:rsidTr="6B9DE975" w14:paraId="49D6D669" w14:textId="77777777">
        <w:tc>
          <w:tcPr>
            <w:tcW w:w="1050" w:type="dxa"/>
            <w:tcMar/>
          </w:tcPr>
          <w:p w:rsidRPr="005B2ACA" w:rsidR="00772127" w:rsidP="005600B0" w:rsidRDefault="00772127" w14:paraId="249E6F41" w14:textId="77777777">
            <w:pPr>
              <w:rPr>
                <w:rFonts w:ascii="Arial" w:hAnsi="Arial" w:cs="Arial"/>
                <w:sz w:val="20"/>
                <w:szCs w:val="20"/>
              </w:rPr>
            </w:pPr>
            <w:r>
              <w:rPr>
                <w:rFonts w:ascii="Arial" w:hAnsi="Arial" w:cs="Arial"/>
                <w:sz w:val="20"/>
                <w:szCs w:val="20"/>
              </w:rPr>
              <w:t>7</w:t>
            </w:r>
          </w:p>
        </w:tc>
        <w:tc>
          <w:tcPr>
            <w:tcW w:w="7169" w:type="dxa"/>
            <w:tcMar/>
          </w:tcPr>
          <w:p w:rsidRPr="005B2ACA" w:rsidR="00772127" w:rsidP="005600B0" w:rsidRDefault="00772127" w14:paraId="6D1EE4C1" w14:textId="77777777">
            <w:pPr>
              <w:rPr>
                <w:rFonts w:ascii="Arial" w:hAnsi="Arial" w:cs="Arial"/>
                <w:sz w:val="20"/>
                <w:szCs w:val="20"/>
              </w:rPr>
            </w:pPr>
            <w:r>
              <w:rPr>
                <w:rFonts w:ascii="Arial" w:hAnsi="Arial" w:cs="Arial"/>
                <w:sz w:val="20"/>
                <w:szCs w:val="20"/>
              </w:rPr>
              <w:t xml:space="preserve">Appeals </w:t>
            </w:r>
          </w:p>
        </w:tc>
        <w:tc>
          <w:tcPr>
            <w:tcW w:w="797" w:type="dxa"/>
            <w:tcMar/>
          </w:tcPr>
          <w:p w:rsidRPr="005B2ACA" w:rsidR="00772127" w:rsidP="005600B0" w:rsidRDefault="00772127" w14:paraId="553ABFA4" w14:textId="77777777">
            <w:pPr>
              <w:rPr>
                <w:rFonts w:ascii="Arial" w:hAnsi="Arial" w:cs="Arial"/>
                <w:sz w:val="20"/>
                <w:szCs w:val="20"/>
              </w:rPr>
            </w:pPr>
            <w:r>
              <w:rPr>
                <w:rFonts w:ascii="Arial" w:hAnsi="Arial" w:cs="Arial"/>
                <w:sz w:val="20"/>
                <w:szCs w:val="20"/>
              </w:rPr>
              <w:t>18</w:t>
            </w:r>
          </w:p>
        </w:tc>
      </w:tr>
      <w:tr w:rsidRPr="005B2ACA" w:rsidR="00772127" w:rsidTr="6B9DE975" w14:paraId="33B2D093" w14:textId="77777777">
        <w:tc>
          <w:tcPr>
            <w:tcW w:w="1050" w:type="dxa"/>
            <w:tcMar/>
          </w:tcPr>
          <w:p w:rsidRPr="005B2ACA" w:rsidR="00772127" w:rsidP="005600B0" w:rsidRDefault="00772127" w14:paraId="51EC6032" w14:textId="77777777">
            <w:pPr>
              <w:rPr>
                <w:rFonts w:ascii="Arial" w:hAnsi="Arial" w:cs="Arial"/>
                <w:sz w:val="20"/>
                <w:szCs w:val="20"/>
              </w:rPr>
            </w:pPr>
            <w:r>
              <w:rPr>
                <w:rFonts w:ascii="Arial" w:hAnsi="Arial" w:cs="Arial"/>
                <w:sz w:val="20"/>
                <w:szCs w:val="20"/>
              </w:rPr>
              <w:t>8</w:t>
            </w:r>
          </w:p>
        </w:tc>
        <w:tc>
          <w:tcPr>
            <w:tcW w:w="7169" w:type="dxa"/>
            <w:tcMar/>
          </w:tcPr>
          <w:p w:rsidRPr="005B2ACA" w:rsidR="00772127" w:rsidP="005600B0" w:rsidRDefault="00772127" w14:paraId="74334723" w14:textId="77777777">
            <w:pPr>
              <w:rPr>
                <w:rFonts w:ascii="Arial" w:hAnsi="Arial" w:cs="Arial"/>
                <w:sz w:val="20"/>
                <w:szCs w:val="20"/>
              </w:rPr>
            </w:pPr>
            <w:r>
              <w:rPr>
                <w:rFonts w:ascii="Arial" w:hAnsi="Arial" w:cs="Arial"/>
                <w:sz w:val="20"/>
                <w:szCs w:val="20"/>
              </w:rPr>
              <w:t>Complaints</w:t>
            </w:r>
          </w:p>
        </w:tc>
        <w:tc>
          <w:tcPr>
            <w:tcW w:w="797" w:type="dxa"/>
            <w:tcMar/>
          </w:tcPr>
          <w:p w:rsidRPr="005B2ACA" w:rsidR="00772127" w:rsidP="005600B0" w:rsidRDefault="00772127" w14:paraId="6E3CF5E9" w14:textId="77777777">
            <w:pPr>
              <w:rPr>
                <w:rFonts w:ascii="Arial" w:hAnsi="Arial" w:cs="Arial"/>
                <w:sz w:val="20"/>
                <w:szCs w:val="20"/>
              </w:rPr>
            </w:pPr>
            <w:r>
              <w:rPr>
                <w:rFonts w:ascii="Arial" w:hAnsi="Arial" w:cs="Arial"/>
                <w:sz w:val="20"/>
                <w:szCs w:val="20"/>
              </w:rPr>
              <w:t>19</w:t>
            </w:r>
          </w:p>
        </w:tc>
      </w:tr>
      <w:tr w:rsidRPr="005B2ACA" w:rsidR="00772127" w:rsidTr="6B9DE975" w14:paraId="288AFF90" w14:textId="77777777">
        <w:tc>
          <w:tcPr>
            <w:tcW w:w="1050" w:type="dxa"/>
            <w:tcMar/>
          </w:tcPr>
          <w:p w:rsidRPr="005B2ACA" w:rsidR="00772127" w:rsidP="005600B0" w:rsidRDefault="00772127" w14:paraId="6DF864A7" w14:textId="77777777">
            <w:pPr>
              <w:rPr>
                <w:rFonts w:ascii="Arial" w:hAnsi="Arial" w:cs="Arial"/>
                <w:sz w:val="20"/>
                <w:szCs w:val="20"/>
              </w:rPr>
            </w:pPr>
            <w:r>
              <w:rPr>
                <w:rFonts w:ascii="Arial" w:hAnsi="Arial" w:cs="Arial"/>
                <w:sz w:val="20"/>
                <w:szCs w:val="20"/>
              </w:rPr>
              <w:t>9</w:t>
            </w:r>
          </w:p>
        </w:tc>
        <w:tc>
          <w:tcPr>
            <w:tcW w:w="7169" w:type="dxa"/>
            <w:tcMar/>
          </w:tcPr>
          <w:p w:rsidRPr="005B2ACA" w:rsidR="00772127" w:rsidP="005600B0" w:rsidRDefault="00772127" w14:paraId="6D3A3EEB" w14:textId="77777777">
            <w:pPr>
              <w:rPr>
                <w:rFonts w:ascii="Arial" w:hAnsi="Arial" w:cs="Arial"/>
                <w:sz w:val="20"/>
                <w:szCs w:val="20"/>
              </w:rPr>
            </w:pPr>
            <w:r>
              <w:rPr>
                <w:rFonts w:ascii="Arial" w:hAnsi="Arial" w:cs="Arial"/>
                <w:sz w:val="20"/>
                <w:szCs w:val="20"/>
              </w:rPr>
              <w:t xml:space="preserve">Monitoring Compliance </w:t>
            </w:r>
          </w:p>
        </w:tc>
        <w:tc>
          <w:tcPr>
            <w:tcW w:w="797" w:type="dxa"/>
            <w:tcMar/>
          </w:tcPr>
          <w:p w:rsidRPr="005B2ACA" w:rsidR="00772127" w:rsidP="005600B0" w:rsidRDefault="00772127" w14:paraId="6E8CBF12" w14:textId="77777777">
            <w:pPr>
              <w:rPr>
                <w:rFonts w:ascii="Arial" w:hAnsi="Arial" w:cs="Arial"/>
                <w:sz w:val="20"/>
                <w:szCs w:val="20"/>
              </w:rPr>
            </w:pPr>
            <w:r>
              <w:rPr>
                <w:rFonts w:ascii="Arial" w:hAnsi="Arial" w:cs="Arial"/>
                <w:sz w:val="20"/>
                <w:szCs w:val="20"/>
              </w:rPr>
              <w:t>20</w:t>
            </w:r>
          </w:p>
        </w:tc>
      </w:tr>
      <w:tr w:rsidRPr="005B2ACA" w:rsidR="00772127" w:rsidTr="6B9DE975" w14:paraId="6FB98B89" w14:textId="77777777">
        <w:tc>
          <w:tcPr>
            <w:tcW w:w="1050" w:type="dxa"/>
            <w:tcMar/>
          </w:tcPr>
          <w:p w:rsidRPr="005B2ACA" w:rsidR="00772127" w:rsidP="005600B0" w:rsidRDefault="00772127" w14:paraId="777B120C" w14:textId="77777777">
            <w:pPr>
              <w:rPr>
                <w:rFonts w:ascii="Arial" w:hAnsi="Arial" w:cs="Arial"/>
                <w:sz w:val="20"/>
                <w:szCs w:val="20"/>
              </w:rPr>
            </w:pPr>
            <w:r>
              <w:rPr>
                <w:rFonts w:ascii="Arial" w:hAnsi="Arial" w:cs="Arial"/>
                <w:sz w:val="20"/>
                <w:szCs w:val="20"/>
              </w:rPr>
              <w:t xml:space="preserve">10 </w:t>
            </w:r>
          </w:p>
        </w:tc>
        <w:tc>
          <w:tcPr>
            <w:tcW w:w="7169" w:type="dxa"/>
            <w:tcMar/>
          </w:tcPr>
          <w:p w:rsidRPr="005B2ACA" w:rsidR="00772127" w:rsidP="005600B0" w:rsidRDefault="00772127" w14:paraId="4770554A" w14:textId="77777777">
            <w:pPr>
              <w:rPr>
                <w:rFonts w:ascii="Arial" w:hAnsi="Arial" w:cs="Arial"/>
                <w:sz w:val="20"/>
                <w:szCs w:val="20"/>
              </w:rPr>
            </w:pPr>
            <w:r>
              <w:rPr>
                <w:rFonts w:ascii="Arial" w:hAnsi="Arial" w:cs="Arial"/>
                <w:sz w:val="20"/>
                <w:szCs w:val="20"/>
              </w:rPr>
              <w:t>Education and Training</w:t>
            </w:r>
          </w:p>
        </w:tc>
        <w:tc>
          <w:tcPr>
            <w:tcW w:w="797" w:type="dxa"/>
            <w:tcMar/>
          </w:tcPr>
          <w:p w:rsidRPr="005B2ACA" w:rsidR="00772127" w:rsidP="005600B0" w:rsidRDefault="00772127" w14:paraId="3B84C655" w14:textId="77777777">
            <w:pPr>
              <w:rPr>
                <w:rFonts w:ascii="Arial" w:hAnsi="Arial" w:cs="Arial"/>
                <w:sz w:val="20"/>
                <w:szCs w:val="20"/>
              </w:rPr>
            </w:pPr>
            <w:r>
              <w:rPr>
                <w:rFonts w:ascii="Arial" w:hAnsi="Arial" w:cs="Arial"/>
                <w:sz w:val="20"/>
                <w:szCs w:val="20"/>
              </w:rPr>
              <w:t>20</w:t>
            </w:r>
          </w:p>
        </w:tc>
      </w:tr>
      <w:tr w:rsidRPr="005B2ACA" w:rsidR="00772127" w:rsidTr="6B9DE975" w14:paraId="77A2A962" w14:textId="77777777">
        <w:tc>
          <w:tcPr>
            <w:tcW w:w="1050" w:type="dxa"/>
            <w:tcMar/>
          </w:tcPr>
          <w:p w:rsidR="00772127" w:rsidP="005600B0" w:rsidRDefault="00772127" w14:paraId="3C2AECBF" w14:textId="77777777">
            <w:pPr>
              <w:rPr>
                <w:rFonts w:ascii="Arial" w:hAnsi="Arial" w:cs="Arial"/>
                <w:sz w:val="20"/>
                <w:szCs w:val="20"/>
              </w:rPr>
            </w:pPr>
            <w:r>
              <w:rPr>
                <w:rFonts w:ascii="Arial" w:hAnsi="Arial" w:cs="Arial"/>
                <w:sz w:val="20"/>
                <w:szCs w:val="20"/>
              </w:rPr>
              <w:t>11</w:t>
            </w:r>
          </w:p>
        </w:tc>
        <w:tc>
          <w:tcPr>
            <w:tcW w:w="7169" w:type="dxa"/>
            <w:tcMar/>
          </w:tcPr>
          <w:p w:rsidRPr="005B2ACA" w:rsidR="00772127" w:rsidP="005600B0" w:rsidRDefault="00772127" w14:paraId="55C93D78" w14:textId="77777777">
            <w:pPr>
              <w:rPr>
                <w:rFonts w:ascii="Arial" w:hAnsi="Arial" w:cs="Arial"/>
                <w:sz w:val="20"/>
                <w:szCs w:val="20"/>
              </w:rPr>
            </w:pPr>
            <w:r>
              <w:rPr>
                <w:rFonts w:ascii="Arial" w:hAnsi="Arial" w:cs="Arial"/>
                <w:sz w:val="20"/>
                <w:szCs w:val="20"/>
              </w:rPr>
              <w:t xml:space="preserve">Associated Documentation </w:t>
            </w:r>
          </w:p>
        </w:tc>
        <w:tc>
          <w:tcPr>
            <w:tcW w:w="797" w:type="dxa"/>
            <w:tcMar/>
          </w:tcPr>
          <w:p w:rsidRPr="005B2ACA" w:rsidR="00772127" w:rsidP="005600B0" w:rsidRDefault="00772127" w14:paraId="2447F585" w14:textId="77777777">
            <w:pPr>
              <w:rPr>
                <w:rFonts w:ascii="Arial" w:hAnsi="Arial" w:cs="Arial"/>
                <w:sz w:val="20"/>
                <w:szCs w:val="20"/>
              </w:rPr>
            </w:pPr>
            <w:r>
              <w:rPr>
                <w:rFonts w:ascii="Arial" w:hAnsi="Arial" w:cs="Arial"/>
                <w:sz w:val="20"/>
                <w:szCs w:val="20"/>
              </w:rPr>
              <w:t>20</w:t>
            </w:r>
          </w:p>
        </w:tc>
      </w:tr>
      <w:tr w:rsidRPr="005B2ACA" w:rsidR="00772127" w:rsidTr="6B9DE975" w14:paraId="2651BFAF" w14:textId="77777777">
        <w:tc>
          <w:tcPr>
            <w:tcW w:w="1050" w:type="dxa"/>
            <w:tcMar/>
          </w:tcPr>
          <w:p w:rsidR="00772127" w:rsidP="005600B0" w:rsidRDefault="00772127" w14:paraId="36490C0A" w14:textId="77777777">
            <w:pPr>
              <w:rPr>
                <w:rFonts w:ascii="Arial" w:hAnsi="Arial" w:cs="Arial"/>
                <w:sz w:val="20"/>
                <w:szCs w:val="20"/>
              </w:rPr>
            </w:pPr>
            <w:r>
              <w:rPr>
                <w:rFonts w:ascii="Arial" w:hAnsi="Arial" w:cs="Arial"/>
                <w:sz w:val="20"/>
                <w:szCs w:val="20"/>
              </w:rPr>
              <w:t>12</w:t>
            </w:r>
          </w:p>
        </w:tc>
        <w:tc>
          <w:tcPr>
            <w:tcW w:w="7169" w:type="dxa"/>
            <w:tcMar/>
          </w:tcPr>
          <w:p w:rsidRPr="005B2ACA" w:rsidR="00772127" w:rsidP="005600B0" w:rsidRDefault="00772127" w14:paraId="2B5FA3CA" w14:textId="77777777">
            <w:pPr>
              <w:rPr>
                <w:rFonts w:ascii="Arial" w:hAnsi="Arial" w:cs="Arial"/>
                <w:sz w:val="20"/>
                <w:szCs w:val="20"/>
              </w:rPr>
            </w:pPr>
            <w:r>
              <w:rPr>
                <w:rFonts w:ascii="Arial" w:hAnsi="Arial" w:cs="Arial"/>
                <w:sz w:val="20"/>
                <w:szCs w:val="20"/>
              </w:rPr>
              <w:t>References</w:t>
            </w:r>
          </w:p>
        </w:tc>
        <w:tc>
          <w:tcPr>
            <w:tcW w:w="797" w:type="dxa"/>
            <w:tcMar/>
          </w:tcPr>
          <w:p w:rsidRPr="005B2ACA" w:rsidR="00772127" w:rsidP="005600B0" w:rsidRDefault="00772127" w14:paraId="0F1B5327" w14:textId="77777777">
            <w:pPr>
              <w:rPr>
                <w:rFonts w:ascii="Arial" w:hAnsi="Arial" w:cs="Arial"/>
                <w:sz w:val="20"/>
                <w:szCs w:val="20"/>
              </w:rPr>
            </w:pPr>
            <w:r>
              <w:rPr>
                <w:rFonts w:ascii="Arial" w:hAnsi="Arial" w:cs="Arial"/>
                <w:sz w:val="20"/>
                <w:szCs w:val="20"/>
              </w:rPr>
              <w:t>21</w:t>
            </w:r>
          </w:p>
        </w:tc>
      </w:tr>
      <w:tr w:rsidRPr="005B2ACA" w:rsidR="00772127" w:rsidTr="6B9DE975" w14:paraId="6859EC9C" w14:textId="77777777">
        <w:tc>
          <w:tcPr>
            <w:tcW w:w="1050" w:type="dxa"/>
            <w:tcMar/>
          </w:tcPr>
          <w:p w:rsidR="00772127" w:rsidP="005600B0" w:rsidRDefault="00772127" w14:paraId="29335F1D" w14:textId="77777777">
            <w:pPr>
              <w:rPr>
                <w:rFonts w:ascii="Arial" w:hAnsi="Arial" w:cs="Arial"/>
                <w:sz w:val="20"/>
                <w:szCs w:val="20"/>
              </w:rPr>
            </w:pPr>
            <w:r>
              <w:rPr>
                <w:rFonts w:ascii="Arial" w:hAnsi="Arial" w:cs="Arial"/>
                <w:sz w:val="20"/>
                <w:szCs w:val="20"/>
              </w:rPr>
              <w:t>Appendix</w:t>
            </w:r>
          </w:p>
        </w:tc>
        <w:tc>
          <w:tcPr>
            <w:tcW w:w="7169" w:type="dxa"/>
            <w:tcMar/>
          </w:tcPr>
          <w:p w:rsidRPr="00CD52AC" w:rsidR="00772127" w:rsidP="00772127" w:rsidRDefault="00772127" w14:paraId="32D49A67" w14:textId="77777777">
            <w:pPr>
              <w:pStyle w:val="ListParagraph"/>
              <w:numPr>
                <w:ilvl w:val="0"/>
                <w:numId w:val="23"/>
              </w:numPr>
              <w:rPr>
                <w:rFonts w:ascii="Arial" w:hAnsi="Arial" w:cs="Arial"/>
                <w:sz w:val="20"/>
                <w:szCs w:val="20"/>
              </w:rPr>
            </w:pPr>
            <w:r>
              <w:rPr>
                <w:rFonts w:ascii="Arial" w:hAnsi="Arial" w:cs="Arial"/>
                <w:sz w:val="20"/>
                <w:szCs w:val="20"/>
              </w:rPr>
              <w:t>Glossary of Abbreviations</w:t>
            </w:r>
          </w:p>
        </w:tc>
        <w:tc>
          <w:tcPr>
            <w:tcW w:w="797" w:type="dxa"/>
            <w:tcMar/>
          </w:tcPr>
          <w:p w:rsidRPr="005B2ACA" w:rsidR="00772127" w:rsidP="005600B0" w:rsidRDefault="00772127" w14:paraId="2134241B" w14:textId="77777777">
            <w:pPr>
              <w:rPr>
                <w:rFonts w:ascii="Arial" w:hAnsi="Arial" w:cs="Arial"/>
                <w:sz w:val="20"/>
                <w:szCs w:val="20"/>
              </w:rPr>
            </w:pPr>
            <w:r>
              <w:rPr>
                <w:rFonts w:ascii="Arial" w:hAnsi="Arial" w:cs="Arial"/>
                <w:sz w:val="20"/>
                <w:szCs w:val="20"/>
              </w:rPr>
              <w:t>21</w:t>
            </w:r>
          </w:p>
        </w:tc>
      </w:tr>
      <w:tr w:rsidRPr="005B2ACA" w:rsidR="00772127" w:rsidTr="6B9DE975" w14:paraId="1BA88705" w14:textId="77777777">
        <w:tc>
          <w:tcPr>
            <w:tcW w:w="1050" w:type="dxa"/>
            <w:tcMar/>
          </w:tcPr>
          <w:p w:rsidR="00772127" w:rsidP="005600B0" w:rsidRDefault="00772127" w14:paraId="5CD6FD7A" w14:textId="77777777">
            <w:pPr>
              <w:rPr>
                <w:rFonts w:ascii="Arial" w:hAnsi="Arial" w:cs="Arial"/>
                <w:sz w:val="20"/>
                <w:szCs w:val="20"/>
              </w:rPr>
            </w:pPr>
          </w:p>
        </w:tc>
        <w:tc>
          <w:tcPr>
            <w:tcW w:w="7169" w:type="dxa"/>
            <w:tcMar/>
          </w:tcPr>
          <w:p w:rsidRPr="00CD52AC" w:rsidR="00772127" w:rsidP="00772127" w:rsidRDefault="00772127" w14:paraId="3EC7253C" w14:textId="77777777">
            <w:pPr>
              <w:pStyle w:val="ListParagraph"/>
              <w:numPr>
                <w:ilvl w:val="0"/>
                <w:numId w:val="23"/>
              </w:numPr>
              <w:rPr>
                <w:rFonts w:ascii="Arial" w:hAnsi="Arial" w:cs="Arial"/>
                <w:sz w:val="20"/>
                <w:szCs w:val="20"/>
              </w:rPr>
            </w:pPr>
            <w:r>
              <w:rPr>
                <w:rFonts w:ascii="Arial" w:hAnsi="Arial" w:cs="Arial"/>
                <w:sz w:val="20"/>
                <w:szCs w:val="20"/>
              </w:rPr>
              <w:t xml:space="preserve">IFR and Exceptional Case Panel Terms of Reference </w:t>
            </w:r>
          </w:p>
        </w:tc>
        <w:tc>
          <w:tcPr>
            <w:tcW w:w="797" w:type="dxa"/>
            <w:tcMar/>
          </w:tcPr>
          <w:p w:rsidRPr="005B2ACA" w:rsidR="00772127" w:rsidP="005600B0" w:rsidRDefault="00772127" w14:paraId="78EC488F" w14:textId="77777777">
            <w:pPr>
              <w:rPr>
                <w:rFonts w:ascii="Arial" w:hAnsi="Arial" w:cs="Arial"/>
                <w:sz w:val="20"/>
                <w:szCs w:val="20"/>
              </w:rPr>
            </w:pPr>
            <w:r>
              <w:rPr>
                <w:rFonts w:ascii="Arial" w:hAnsi="Arial" w:cs="Arial"/>
                <w:sz w:val="20"/>
                <w:szCs w:val="20"/>
              </w:rPr>
              <w:t>22</w:t>
            </w:r>
          </w:p>
        </w:tc>
      </w:tr>
      <w:tr w:rsidRPr="005B2ACA" w:rsidR="00772127" w:rsidTr="6B9DE975" w14:paraId="5222F534" w14:textId="77777777">
        <w:tc>
          <w:tcPr>
            <w:tcW w:w="1050" w:type="dxa"/>
            <w:tcMar/>
          </w:tcPr>
          <w:p w:rsidR="00772127" w:rsidP="005600B0" w:rsidRDefault="00772127" w14:paraId="2B50820A" w14:textId="77777777">
            <w:pPr>
              <w:rPr>
                <w:rFonts w:ascii="Arial" w:hAnsi="Arial" w:cs="Arial"/>
                <w:sz w:val="20"/>
                <w:szCs w:val="20"/>
              </w:rPr>
            </w:pPr>
          </w:p>
        </w:tc>
        <w:tc>
          <w:tcPr>
            <w:tcW w:w="7169" w:type="dxa"/>
            <w:tcMar/>
          </w:tcPr>
          <w:p w:rsidR="00772127" w:rsidP="00772127" w:rsidRDefault="00772127" w14:paraId="4A998E74" w14:textId="77777777">
            <w:pPr>
              <w:pStyle w:val="ListParagraph"/>
              <w:numPr>
                <w:ilvl w:val="0"/>
                <w:numId w:val="23"/>
              </w:numPr>
              <w:rPr>
                <w:rFonts w:ascii="Arial" w:hAnsi="Arial" w:cs="Arial"/>
                <w:sz w:val="20"/>
                <w:szCs w:val="20"/>
              </w:rPr>
            </w:pPr>
            <w:r>
              <w:rPr>
                <w:rFonts w:ascii="Arial" w:hAnsi="Arial" w:cs="Arial"/>
                <w:sz w:val="20"/>
                <w:szCs w:val="20"/>
              </w:rPr>
              <w:t>Equalities Impact Assessment</w:t>
            </w:r>
          </w:p>
        </w:tc>
        <w:tc>
          <w:tcPr>
            <w:tcW w:w="797" w:type="dxa"/>
            <w:tcMar/>
          </w:tcPr>
          <w:p w:rsidRPr="005B2ACA" w:rsidR="00772127" w:rsidP="005600B0" w:rsidRDefault="00772127" w14:paraId="7FFAC34A" w14:textId="5839CBFB">
            <w:pPr>
              <w:rPr>
                <w:rFonts w:ascii="Arial" w:hAnsi="Arial" w:cs="Arial"/>
                <w:sz w:val="20"/>
                <w:szCs w:val="20"/>
              </w:rPr>
            </w:pPr>
            <w:r w:rsidRPr="6B9DE975" w:rsidR="499566D5">
              <w:rPr>
                <w:rFonts w:ascii="Arial" w:hAnsi="Arial" w:cs="Arial"/>
                <w:sz w:val="20"/>
                <w:szCs w:val="20"/>
              </w:rPr>
              <w:t>2</w:t>
            </w:r>
            <w:r w:rsidRPr="6B9DE975" w:rsidR="79B18068">
              <w:rPr>
                <w:rFonts w:ascii="Arial" w:hAnsi="Arial" w:cs="Arial"/>
                <w:sz w:val="20"/>
                <w:szCs w:val="20"/>
              </w:rPr>
              <w:t>7</w:t>
            </w:r>
          </w:p>
        </w:tc>
      </w:tr>
      <w:bookmarkEnd w:id="0"/>
    </w:tbl>
    <w:p w:rsidR="00DC62DE" w:rsidP="0062464A" w:rsidRDefault="00DC62DE" w14:paraId="248279C6" w14:textId="77777777">
      <w:pPr>
        <w:rPr>
          <w:rFonts w:ascii="Arial" w:hAnsi="Arial" w:cs="Arial"/>
        </w:rPr>
      </w:pPr>
    </w:p>
    <w:p w:rsidR="0026695D" w:rsidP="0062464A" w:rsidRDefault="0026695D" w14:paraId="56D5CE04" w14:textId="77777777">
      <w:pPr>
        <w:rPr>
          <w:rFonts w:ascii="Arial" w:hAnsi="Arial" w:cs="Arial"/>
        </w:rPr>
      </w:pPr>
    </w:p>
    <w:p w:rsidR="005C30D6" w:rsidP="00D87A65" w:rsidRDefault="00F06CA9" w14:paraId="788778F6" w14:textId="552BA365">
      <w:pPr>
        <w:pStyle w:val="Heading2"/>
        <w:numPr>
          <w:ilvl w:val="0"/>
          <w:numId w:val="8"/>
        </w:numPr>
        <w:rPr>
          <w:rFonts w:ascii="Arial" w:hAnsi="Arial" w:cs="Arial"/>
          <w:sz w:val="22"/>
          <w:szCs w:val="22"/>
        </w:rPr>
      </w:pPr>
      <w:r w:rsidRPr="0062464A">
        <w:rPr>
          <w:rFonts w:ascii="Arial" w:hAnsi="Arial" w:cs="Arial"/>
          <w:sz w:val="22"/>
          <w:szCs w:val="22"/>
        </w:rPr>
        <w:t>Introduction</w:t>
      </w:r>
    </w:p>
    <w:p w:rsidR="00D76A22" w:rsidP="0026695D" w:rsidRDefault="00A41EED" w14:paraId="16590DF7" w14:textId="21DE9D7C">
      <w:pPr>
        <w:spacing w:after="0"/>
        <w:rPr>
          <w:rFonts w:ascii="Arial" w:hAnsi="Arial" w:cs="Arial"/>
          <w:lang w:val="en-GB"/>
        </w:rPr>
      </w:pPr>
      <w:r>
        <w:rPr>
          <w:rFonts w:ascii="Arial" w:hAnsi="Arial" w:cs="Arial"/>
        </w:rPr>
        <w:br/>
      </w:r>
      <w:r w:rsidRPr="00271F63" w:rsidR="00B3352A">
        <w:rPr>
          <w:rFonts w:ascii="Arial" w:hAnsi="Arial" w:cs="Arial"/>
        </w:rPr>
        <w:t>Central East</w:t>
      </w:r>
      <w:r w:rsidRPr="00271F63" w:rsidR="005530B7">
        <w:rPr>
          <w:rFonts w:ascii="Arial" w:hAnsi="Arial" w:cs="Arial"/>
        </w:rPr>
        <w:t xml:space="preserve"> Integrated Care Board (CE</w:t>
      </w:r>
      <w:r w:rsidRPr="00271F63" w:rsidR="005C44E2">
        <w:rPr>
          <w:rFonts w:ascii="Arial" w:hAnsi="Arial" w:cs="Arial"/>
        </w:rPr>
        <w:t xml:space="preserve"> </w:t>
      </w:r>
      <w:r w:rsidRPr="00271F63" w:rsidR="005530B7">
        <w:rPr>
          <w:rFonts w:ascii="Arial" w:hAnsi="Arial" w:cs="Arial"/>
        </w:rPr>
        <w:t xml:space="preserve">ICB) </w:t>
      </w:r>
      <w:proofErr w:type="gramStart"/>
      <w:r w:rsidRPr="00271F63" w:rsidR="005530B7">
        <w:rPr>
          <w:rFonts w:ascii="Arial" w:hAnsi="Arial" w:cs="Arial"/>
        </w:rPr>
        <w:t>is driven</w:t>
      </w:r>
      <w:proofErr w:type="gramEnd"/>
      <w:r w:rsidRPr="00271F63" w:rsidR="005530B7">
        <w:rPr>
          <w:rFonts w:ascii="Arial" w:hAnsi="Arial" w:cs="Arial"/>
        </w:rPr>
        <w:t xml:space="preserve"> by one question “</w:t>
      </w:r>
      <w:r w:rsidRPr="00271F63" w:rsidR="00B3352A">
        <w:rPr>
          <w:rFonts w:ascii="Arial" w:hAnsi="Arial" w:cs="Arial"/>
        </w:rPr>
        <w:t>What best serves our population?</w:t>
      </w:r>
      <w:r w:rsidRPr="00271F63" w:rsidR="005530B7">
        <w:rPr>
          <w:rFonts w:ascii="Arial" w:hAnsi="Arial" w:cs="Arial"/>
        </w:rPr>
        <w:t>” This principle underpins everything we do.</w:t>
      </w:r>
      <w:r w:rsidRPr="6F87A5EE" w:rsidR="00E26DC4">
        <w:rPr>
          <w:rFonts w:ascii="Arial" w:hAnsi="Arial" w:cs="Arial"/>
        </w:rPr>
        <w:t xml:space="preserve"> </w:t>
      </w:r>
      <w:r w:rsidRPr="6F87A5EE" w:rsidR="00F06CA9">
        <w:rPr>
          <w:rFonts w:ascii="Arial" w:hAnsi="Arial" w:cs="Arial"/>
        </w:rPr>
        <w:t xml:space="preserve">The NHS exists to serve the needs of all its </w:t>
      </w:r>
      <w:r w:rsidRPr="6F87A5EE" w:rsidR="005C7B0D">
        <w:rPr>
          <w:rFonts w:ascii="Arial" w:hAnsi="Arial" w:cs="Arial"/>
        </w:rPr>
        <w:t>patients,</w:t>
      </w:r>
      <w:r w:rsidRPr="6F87A5EE" w:rsidR="00F06CA9">
        <w:rPr>
          <w:rFonts w:ascii="Arial" w:hAnsi="Arial" w:cs="Arial"/>
        </w:rPr>
        <w:t xml:space="preserve"> but NHS resources </w:t>
      </w:r>
      <w:r w:rsidRPr="6F87A5EE" w:rsidR="005530B7">
        <w:rPr>
          <w:rFonts w:ascii="Arial" w:hAnsi="Arial" w:cs="Arial"/>
        </w:rPr>
        <w:t>must</w:t>
      </w:r>
      <w:r w:rsidRPr="6F87A5EE" w:rsidR="00F06CA9">
        <w:rPr>
          <w:rFonts w:ascii="Arial" w:hAnsi="Arial" w:cs="Arial"/>
        </w:rPr>
        <w:t xml:space="preserve"> </w:t>
      </w:r>
      <w:proofErr w:type="gramStart"/>
      <w:r w:rsidRPr="6F87A5EE" w:rsidR="00F06CA9">
        <w:rPr>
          <w:rFonts w:ascii="Arial" w:hAnsi="Arial" w:cs="Arial"/>
        </w:rPr>
        <w:t>be targeted</w:t>
      </w:r>
      <w:proofErr w:type="gramEnd"/>
      <w:r w:rsidRPr="6F87A5EE" w:rsidR="00F06CA9">
        <w:rPr>
          <w:rFonts w:ascii="Arial" w:hAnsi="Arial" w:cs="Arial"/>
        </w:rPr>
        <w:t xml:space="preserve"> towards clinically appropriate interventions</w:t>
      </w:r>
      <w:r w:rsidRPr="6F87A5EE" w:rsidR="005530B7">
        <w:rPr>
          <w:rFonts w:ascii="Arial" w:hAnsi="Arial" w:cs="Arial"/>
        </w:rPr>
        <w:t xml:space="preserve"> to ensure </w:t>
      </w:r>
      <w:r w:rsidRPr="6F87A5EE" w:rsidR="00963DAA">
        <w:rPr>
          <w:rFonts w:ascii="Arial" w:hAnsi="Arial" w:cs="Arial"/>
        </w:rPr>
        <w:t xml:space="preserve">the right </w:t>
      </w:r>
      <w:r w:rsidRPr="6F87A5EE" w:rsidR="00EB70DA">
        <w:rPr>
          <w:rFonts w:ascii="Arial" w:hAnsi="Arial" w:cs="Arial"/>
        </w:rPr>
        <w:t>patients</w:t>
      </w:r>
      <w:r w:rsidRPr="6F87A5EE" w:rsidR="005530B7">
        <w:rPr>
          <w:rFonts w:ascii="Arial" w:hAnsi="Arial" w:cs="Arial"/>
        </w:rPr>
        <w:t xml:space="preserve"> receive the right care, at the right time, in the right place.</w:t>
      </w:r>
      <w:r w:rsidRPr="6F87A5EE" w:rsidR="00F06CA9">
        <w:rPr>
          <w:rFonts w:ascii="Arial" w:hAnsi="Arial" w:cs="Arial"/>
        </w:rPr>
        <w:t xml:space="preserve"> </w:t>
      </w:r>
      <w:r w:rsidRPr="6F87A5EE" w:rsidR="003215C9">
        <w:rPr>
          <w:rFonts w:ascii="Arial" w:hAnsi="Arial" w:cs="Arial"/>
        </w:rPr>
        <w:t xml:space="preserve">Central East ICB has a responsibility to ensure that safe, evidence based, clinically effective interventions and services are prioritised appropriately for the whole of its population, as well as considering the clinical needs of individual patients. </w:t>
      </w:r>
      <w:r w:rsidR="00B3352A">
        <w:br/>
      </w:r>
      <w:r w:rsidR="00B3352A">
        <w:br/>
      </w:r>
      <w:r w:rsidRPr="6F87A5EE" w:rsidR="00AE300A">
        <w:rPr>
          <w:rFonts w:ascii="Arial" w:hAnsi="Arial" w:cs="Arial"/>
          <w:lang w:val="en-GB"/>
        </w:rPr>
        <w:t>This policy sets out the principles, processes and responsibilities in relation to</w:t>
      </w:r>
      <w:r w:rsidR="00DC6468">
        <w:rPr>
          <w:rFonts w:ascii="Arial" w:hAnsi="Arial" w:cs="Arial"/>
          <w:lang w:val="en-GB"/>
        </w:rPr>
        <w:t xml:space="preserve"> Exceptional Cases and</w:t>
      </w:r>
      <w:r w:rsidRPr="6F87A5EE" w:rsidR="00AE300A">
        <w:rPr>
          <w:rFonts w:ascii="Arial" w:hAnsi="Arial" w:cs="Arial"/>
          <w:lang w:val="en-GB"/>
        </w:rPr>
        <w:t xml:space="preserve"> I</w:t>
      </w:r>
      <w:r w:rsidRPr="6F87A5EE" w:rsidR="1072ED4C">
        <w:rPr>
          <w:rFonts w:ascii="Arial" w:hAnsi="Arial" w:cs="Arial"/>
          <w:lang w:val="en-GB"/>
        </w:rPr>
        <w:t>ndividual Funding Requests (I</w:t>
      </w:r>
      <w:r w:rsidRPr="6F87A5EE" w:rsidR="00AE300A">
        <w:rPr>
          <w:rFonts w:ascii="Arial" w:hAnsi="Arial" w:cs="Arial"/>
          <w:lang w:val="en-GB"/>
        </w:rPr>
        <w:t>FRs</w:t>
      </w:r>
      <w:r w:rsidRPr="6F87A5EE" w:rsidR="44507BB6">
        <w:rPr>
          <w:rFonts w:ascii="Arial" w:hAnsi="Arial" w:cs="Arial"/>
          <w:lang w:val="en-GB"/>
        </w:rPr>
        <w:t xml:space="preserve">) </w:t>
      </w:r>
      <w:r w:rsidRPr="6F87A5EE" w:rsidR="00AE300A">
        <w:rPr>
          <w:rFonts w:ascii="Arial" w:hAnsi="Arial" w:cs="Arial"/>
          <w:lang w:val="en-GB"/>
        </w:rPr>
        <w:t xml:space="preserve">and how requests for treatment that fall outside of existing policies and service agreements will be </w:t>
      </w:r>
      <w:r w:rsidR="00542E6C">
        <w:rPr>
          <w:rFonts w:ascii="Arial" w:hAnsi="Arial" w:cs="Arial"/>
          <w:lang w:val="en-GB"/>
        </w:rPr>
        <w:t>considered</w:t>
      </w:r>
      <w:r w:rsidRPr="6F87A5EE" w:rsidR="003215C9">
        <w:rPr>
          <w:rFonts w:ascii="Arial" w:hAnsi="Arial" w:cs="Arial"/>
          <w:lang w:val="en-GB"/>
        </w:rPr>
        <w:t xml:space="preserve">. </w:t>
      </w:r>
    </w:p>
    <w:p w:rsidR="00D76A22" w:rsidP="0026695D" w:rsidRDefault="00D76A22" w14:paraId="5C08E4F5" w14:textId="77777777">
      <w:pPr>
        <w:spacing w:after="0"/>
        <w:rPr>
          <w:rFonts w:ascii="Arial" w:hAnsi="Arial" w:cs="Arial"/>
          <w:lang w:val="en-GB"/>
        </w:rPr>
      </w:pPr>
    </w:p>
    <w:p w:rsidRPr="0062464A" w:rsidR="005C30D6" w:rsidP="0026695D" w:rsidRDefault="4E5434D5" w14:paraId="1BF353F4" w14:textId="7179784C">
      <w:pPr>
        <w:spacing w:after="0"/>
        <w:rPr>
          <w:rFonts w:ascii="Arial" w:hAnsi="Arial" w:cs="Arial"/>
        </w:rPr>
      </w:pPr>
      <w:r w:rsidRPr="6F87A5EE">
        <w:rPr>
          <w:rFonts w:ascii="Arial" w:hAnsi="Arial" w:cs="Arial"/>
          <w:lang w:val="en-GB"/>
        </w:rPr>
        <w:t xml:space="preserve">This </w:t>
      </w:r>
      <w:r w:rsidR="0092480D">
        <w:rPr>
          <w:rFonts w:ascii="Arial" w:hAnsi="Arial" w:cs="Arial"/>
          <w:lang w:val="en-GB"/>
        </w:rPr>
        <w:t>p</w:t>
      </w:r>
      <w:r w:rsidRPr="6F87A5EE">
        <w:rPr>
          <w:rFonts w:ascii="Arial" w:hAnsi="Arial" w:cs="Arial"/>
          <w:lang w:val="en-GB"/>
        </w:rPr>
        <w:t xml:space="preserve">olicy </w:t>
      </w:r>
      <w:r w:rsidRPr="6F87A5EE" w:rsidR="00F06CA9">
        <w:rPr>
          <w:rFonts w:ascii="Arial" w:hAnsi="Arial" w:cs="Arial"/>
        </w:rPr>
        <w:t xml:space="preserve">is </w:t>
      </w:r>
      <w:r w:rsidRPr="6F87A5EE" w:rsidR="00DC7735">
        <w:rPr>
          <w:rFonts w:ascii="Arial" w:hAnsi="Arial" w:cs="Arial"/>
        </w:rPr>
        <w:t>supplementary to all</w:t>
      </w:r>
      <w:r w:rsidRPr="6F87A5EE" w:rsidR="00F06CA9">
        <w:rPr>
          <w:rFonts w:ascii="Arial" w:hAnsi="Arial" w:cs="Arial"/>
        </w:rPr>
        <w:t xml:space="preserve"> </w:t>
      </w:r>
      <w:r w:rsidRPr="6F87A5EE" w:rsidR="005530B7">
        <w:rPr>
          <w:rFonts w:ascii="Arial" w:hAnsi="Arial" w:cs="Arial"/>
        </w:rPr>
        <w:t>Central East ICB Clinical Po</w:t>
      </w:r>
      <w:r w:rsidRPr="6F87A5EE" w:rsidR="00F06CA9">
        <w:rPr>
          <w:rFonts w:ascii="Arial" w:hAnsi="Arial" w:cs="Arial"/>
        </w:rPr>
        <w:t>licies</w:t>
      </w:r>
      <w:r w:rsidRPr="6F87A5EE" w:rsidR="005C7B0D">
        <w:rPr>
          <w:rFonts w:ascii="Arial" w:hAnsi="Arial" w:cs="Arial"/>
        </w:rPr>
        <w:t xml:space="preserve"> produced by the Central East ICB Clinical Policies Group</w:t>
      </w:r>
      <w:r w:rsidRPr="6F87A5EE" w:rsidR="00F06CA9">
        <w:rPr>
          <w:rFonts w:ascii="Arial" w:hAnsi="Arial" w:cs="Arial"/>
        </w:rPr>
        <w:t xml:space="preserve">, </w:t>
      </w:r>
      <w:r w:rsidRPr="6F87A5EE" w:rsidR="005C7B0D">
        <w:rPr>
          <w:rFonts w:ascii="Arial" w:hAnsi="Arial" w:cs="Arial"/>
        </w:rPr>
        <w:t xml:space="preserve">and guidelines, pathways, and recommendations produced by the Area Prescribing Committee (APC). These documents </w:t>
      </w:r>
      <w:proofErr w:type="gramStart"/>
      <w:r w:rsidRPr="6F87A5EE" w:rsidR="003215C9">
        <w:rPr>
          <w:rFonts w:ascii="Arial" w:hAnsi="Arial" w:cs="Arial"/>
        </w:rPr>
        <w:t>are approved</w:t>
      </w:r>
      <w:proofErr w:type="gramEnd"/>
      <w:r w:rsidRPr="6F87A5EE" w:rsidR="003215C9">
        <w:rPr>
          <w:rFonts w:ascii="Arial" w:hAnsi="Arial" w:cs="Arial"/>
        </w:rPr>
        <w:t xml:space="preserve"> by the Central East ICB Utilisation Management &amp; Quality Improvement Committee. They </w:t>
      </w:r>
      <w:r w:rsidRPr="6F87A5EE" w:rsidR="005C7B0D">
        <w:rPr>
          <w:rFonts w:ascii="Arial" w:hAnsi="Arial" w:cs="Arial"/>
        </w:rPr>
        <w:t>reflect local priorities</w:t>
      </w:r>
      <w:r w:rsidRPr="6F87A5EE" w:rsidR="00DC7735">
        <w:rPr>
          <w:rFonts w:ascii="Arial" w:hAnsi="Arial" w:cs="Arial"/>
        </w:rPr>
        <w:t>,</w:t>
      </w:r>
      <w:r w:rsidRPr="6F87A5EE" w:rsidR="005C7B0D">
        <w:rPr>
          <w:rFonts w:ascii="Arial" w:hAnsi="Arial" w:cs="Arial"/>
        </w:rPr>
        <w:t xml:space="preserve"> </w:t>
      </w:r>
      <w:r w:rsidRPr="6F87A5EE" w:rsidR="00DC7735">
        <w:rPr>
          <w:rFonts w:ascii="Arial" w:hAnsi="Arial" w:cs="Arial"/>
        </w:rPr>
        <w:t>and aim to</w:t>
      </w:r>
      <w:r w:rsidRPr="6F87A5EE" w:rsidR="00F06CA9">
        <w:rPr>
          <w:rFonts w:ascii="Arial" w:hAnsi="Arial" w:cs="Arial"/>
        </w:rPr>
        <w:t xml:space="preserve">: </w:t>
      </w:r>
    </w:p>
    <w:p w:rsidRPr="0062464A" w:rsidR="0062464A" w:rsidP="00D87A65" w:rsidRDefault="0062464A" w14:paraId="0B184390" w14:textId="5965EBB2">
      <w:pPr>
        <w:pStyle w:val="ListParagraph"/>
        <w:numPr>
          <w:ilvl w:val="0"/>
          <w:numId w:val="7"/>
        </w:numPr>
        <w:spacing w:line="240" w:lineRule="auto"/>
        <w:rPr>
          <w:rFonts w:ascii="Arial" w:hAnsi="Arial" w:cs="Arial"/>
        </w:rPr>
      </w:pPr>
      <w:r w:rsidRPr="0062464A">
        <w:rPr>
          <w:rFonts w:ascii="Arial" w:hAnsi="Arial" w:cs="Arial"/>
        </w:rPr>
        <w:t>Ensure optimal clinical effectiveness and appropriateness in a patient’s clinical pathway</w:t>
      </w:r>
      <w:r w:rsidR="00B674F5">
        <w:rPr>
          <w:rFonts w:ascii="Arial" w:hAnsi="Arial" w:cs="Arial"/>
        </w:rPr>
        <w:t>.</w:t>
      </w:r>
      <w:r w:rsidRPr="0062464A">
        <w:rPr>
          <w:rFonts w:ascii="Arial" w:hAnsi="Arial" w:cs="Arial"/>
        </w:rPr>
        <w:t xml:space="preserve"> </w:t>
      </w:r>
    </w:p>
    <w:p w:rsidRPr="0062464A" w:rsidR="005C30D6" w:rsidP="00D87A65" w:rsidRDefault="00F06CA9" w14:paraId="60E87E72" w14:textId="75319B1B">
      <w:pPr>
        <w:pStyle w:val="ListParagraph"/>
        <w:numPr>
          <w:ilvl w:val="0"/>
          <w:numId w:val="7"/>
        </w:numPr>
        <w:spacing w:line="240" w:lineRule="auto"/>
        <w:rPr>
          <w:rFonts w:ascii="Arial" w:hAnsi="Arial" w:cs="Arial"/>
        </w:rPr>
      </w:pPr>
      <w:r w:rsidRPr="0062464A">
        <w:rPr>
          <w:rFonts w:ascii="Arial" w:hAnsi="Arial" w:cs="Arial"/>
        </w:rPr>
        <w:t>Improve the quality of care offered to patients by reducing unnecessary interventions and preventing avoidable harm.</w:t>
      </w:r>
    </w:p>
    <w:p w:rsidRPr="0062464A" w:rsidR="005C30D6" w:rsidP="00D87A65" w:rsidRDefault="00F06CA9" w14:paraId="5247CE34" w14:textId="2D274080">
      <w:pPr>
        <w:pStyle w:val="ListParagraph"/>
        <w:numPr>
          <w:ilvl w:val="0"/>
          <w:numId w:val="7"/>
        </w:numPr>
        <w:spacing w:line="240" w:lineRule="auto"/>
        <w:rPr>
          <w:rFonts w:ascii="Arial" w:hAnsi="Arial" w:cs="Arial"/>
        </w:rPr>
      </w:pPr>
      <w:r w:rsidRPr="0062464A">
        <w:rPr>
          <w:rFonts w:ascii="Arial" w:hAnsi="Arial" w:cs="Arial"/>
        </w:rPr>
        <w:t xml:space="preserve">Free up valuable resources, such as professional time, so that more effective or higher-value interventions can be </w:t>
      </w:r>
      <w:proofErr w:type="gramStart"/>
      <w:r w:rsidRPr="0062464A">
        <w:rPr>
          <w:rFonts w:ascii="Arial" w:hAnsi="Arial" w:cs="Arial"/>
        </w:rPr>
        <w:t>carried out</w:t>
      </w:r>
      <w:proofErr w:type="gramEnd"/>
      <w:r w:rsidR="007A5D31">
        <w:rPr>
          <w:rFonts w:ascii="Arial" w:hAnsi="Arial" w:cs="Arial"/>
        </w:rPr>
        <w:t xml:space="preserve"> </w:t>
      </w:r>
      <w:r w:rsidRPr="0062464A">
        <w:rPr>
          <w:rFonts w:ascii="Arial" w:hAnsi="Arial" w:cs="Arial"/>
        </w:rPr>
        <w:t>and to create headroom for innovation.</w:t>
      </w:r>
    </w:p>
    <w:p w:rsidRPr="0062464A" w:rsidR="005C30D6" w:rsidP="00D87A65" w:rsidRDefault="00F06CA9" w14:paraId="27BE8539" w14:textId="77777777">
      <w:pPr>
        <w:pStyle w:val="ListParagraph"/>
        <w:numPr>
          <w:ilvl w:val="0"/>
          <w:numId w:val="7"/>
        </w:numPr>
        <w:spacing w:line="240" w:lineRule="auto"/>
        <w:rPr>
          <w:rFonts w:ascii="Arial" w:hAnsi="Arial" w:cs="Arial"/>
        </w:rPr>
      </w:pPr>
      <w:r w:rsidRPr="0062464A">
        <w:rPr>
          <w:rFonts w:ascii="Arial" w:hAnsi="Arial" w:cs="Arial"/>
        </w:rPr>
        <w:t>Maximise value and avoid waste.</w:t>
      </w:r>
    </w:p>
    <w:p w:rsidRPr="0062464A" w:rsidR="005C30D6" w:rsidP="00D87A65" w:rsidRDefault="00F06CA9" w14:paraId="53099780" w14:textId="77777777">
      <w:pPr>
        <w:pStyle w:val="ListParagraph"/>
        <w:numPr>
          <w:ilvl w:val="0"/>
          <w:numId w:val="7"/>
        </w:numPr>
        <w:spacing w:line="240" w:lineRule="auto"/>
        <w:rPr>
          <w:rFonts w:ascii="Arial" w:hAnsi="Arial" w:cs="Arial"/>
        </w:rPr>
      </w:pPr>
      <w:r w:rsidRPr="0062464A">
        <w:rPr>
          <w:rFonts w:ascii="Arial" w:hAnsi="Arial" w:cs="Arial"/>
        </w:rPr>
        <w:t>Reduce unwarranted variation.</w:t>
      </w:r>
    </w:p>
    <w:p w:rsidRPr="0062464A" w:rsidR="005C30D6" w:rsidP="00D87A65" w:rsidRDefault="00F06CA9" w14:paraId="3205E164" w14:textId="77777777">
      <w:pPr>
        <w:pStyle w:val="ListParagraph"/>
        <w:numPr>
          <w:ilvl w:val="0"/>
          <w:numId w:val="7"/>
        </w:numPr>
        <w:spacing w:line="240" w:lineRule="auto"/>
        <w:rPr>
          <w:rFonts w:ascii="Arial" w:hAnsi="Arial" w:cs="Arial"/>
        </w:rPr>
      </w:pPr>
      <w:r w:rsidRPr="0062464A">
        <w:rPr>
          <w:rFonts w:ascii="Arial" w:hAnsi="Arial" w:cs="Arial"/>
        </w:rPr>
        <w:t>Help clinicians maintain professional practice and keep up to date with the changing evidence base and best practice.</w:t>
      </w:r>
    </w:p>
    <w:p w:rsidRPr="0062464A" w:rsidR="0062464A" w:rsidRDefault="00F06CA9" w14:paraId="4C22F102" w14:textId="29D07358">
      <w:pPr>
        <w:rPr>
          <w:rFonts w:ascii="Arial" w:hAnsi="Arial" w:cs="Arial"/>
        </w:rPr>
      </w:pPr>
      <w:r w:rsidRPr="0062464A">
        <w:rPr>
          <w:rFonts w:ascii="Arial" w:hAnsi="Arial" w:cs="Arial"/>
        </w:rPr>
        <w:t xml:space="preserve">Compliance with </w:t>
      </w:r>
      <w:r w:rsidR="005C7B0D">
        <w:rPr>
          <w:rFonts w:ascii="Arial" w:hAnsi="Arial" w:cs="Arial"/>
        </w:rPr>
        <w:t>the clinical</w:t>
      </w:r>
      <w:r w:rsidRPr="0062464A">
        <w:rPr>
          <w:rFonts w:ascii="Arial" w:hAnsi="Arial" w:cs="Arial"/>
        </w:rPr>
        <w:t xml:space="preserve"> policies</w:t>
      </w:r>
      <w:r w:rsidR="005C7B0D">
        <w:rPr>
          <w:rFonts w:ascii="Arial" w:hAnsi="Arial" w:cs="Arial"/>
        </w:rPr>
        <w:t>,</w:t>
      </w:r>
      <w:r w:rsidRPr="0062464A">
        <w:rPr>
          <w:rFonts w:ascii="Arial" w:hAnsi="Arial" w:cs="Arial"/>
        </w:rPr>
        <w:t xml:space="preserve"> guidelines, </w:t>
      </w:r>
      <w:proofErr w:type="gramStart"/>
      <w:r w:rsidRPr="0062464A">
        <w:rPr>
          <w:rFonts w:ascii="Arial" w:hAnsi="Arial" w:cs="Arial"/>
        </w:rPr>
        <w:t>pathways</w:t>
      </w:r>
      <w:proofErr w:type="gramEnd"/>
      <w:r w:rsidRPr="0062464A">
        <w:rPr>
          <w:rFonts w:ascii="Arial" w:hAnsi="Arial" w:cs="Arial"/>
        </w:rPr>
        <w:t xml:space="preserve"> and recommendations is paramount for effective and equitable use of NHS resources</w:t>
      </w:r>
      <w:r w:rsidR="00AC6905">
        <w:rPr>
          <w:rFonts w:ascii="Arial" w:hAnsi="Arial" w:cs="Arial"/>
        </w:rPr>
        <w:t xml:space="preserve">. </w:t>
      </w:r>
      <w:r w:rsidRPr="0062464A">
        <w:rPr>
          <w:rFonts w:ascii="Arial" w:hAnsi="Arial" w:cs="Arial"/>
        </w:rPr>
        <w:t>These policies enable commissioners to prioritise those patients with the greatest capacity to benefit and to restrict investigations, treatments and procedures which have limited or no clinical benefit.</w:t>
      </w:r>
      <w:r w:rsidR="007F3838">
        <w:rPr>
          <w:rFonts w:ascii="Arial" w:hAnsi="Arial" w:cs="Arial"/>
        </w:rPr>
        <w:t xml:space="preserve"> This</w:t>
      </w:r>
      <w:r w:rsidRPr="0062464A">
        <w:rPr>
          <w:rFonts w:ascii="Arial" w:hAnsi="Arial" w:cs="Arial"/>
        </w:rPr>
        <w:t xml:space="preserve"> </w:t>
      </w:r>
      <w:r w:rsidRPr="007F3838" w:rsidR="007F3838">
        <w:rPr>
          <w:rFonts w:ascii="Arial" w:hAnsi="Arial" w:cs="Arial"/>
        </w:rPr>
        <w:t>ensure</w:t>
      </w:r>
      <w:r w:rsidR="007F3838">
        <w:rPr>
          <w:rFonts w:ascii="Arial" w:hAnsi="Arial" w:cs="Arial"/>
        </w:rPr>
        <w:t>s</w:t>
      </w:r>
      <w:r w:rsidRPr="007F3838" w:rsidR="007F3838">
        <w:rPr>
          <w:rFonts w:ascii="Arial" w:hAnsi="Arial" w:cs="Arial"/>
        </w:rPr>
        <w:t xml:space="preserve"> the fair allocation of resources for its population in line with the NHS Constitution</w:t>
      </w:r>
      <w:r w:rsidR="007F3838">
        <w:rPr>
          <w:rFonts w:ascii="Arial" w:hAnsi="Arial" w:cs="Arial"/>
        </w:rPr>
        <w:t xml:space="preserve"> (</w:t>
      </w:r>
      <w:r w:rsidR="003215C9">
        <w:rPr>
          <w:rFonts w:ascii="Arial" w:hAnsi="Arial" w:cs="Arial"/>
        </w:rPr>
        <w:t>2015</w:t>
      </w:r>
      <w:r w:rsidR="007F3838">
        <w:rPr>
          <w:rFonts w:ascii="Arial" w:hAnsi="Arial" w:cs="Arial"/>
        </w:rPr>
        <w:t>)</w:t>
      </w:r>
      <w:r w:rsidR="00B34309">
        <w:rPr>
          <w:rFonts w:ascii="Arial" w:hAnsi="Arial" w:cs="Arial"/>
        </w:rPr>
        <w:t>.</w:t>
      </w:r>
    </w:p>
    <w:p w:rsidR="00DC7735" w:rsidRDefault="00F06CA9" w14:paraId="0A45C144" w14:textId="711C3806">
      <w:pPr>
        <w:rPr>
          <w:rFonts w:ascii="Arial" w:hAnsi="Arial" w:cs="Arial"/>
        </w:rPr>
      </w:pPr>
      <w:r w:rsidRPr="0062464A">
        <w:rPr>
          <w:rFonts w:ascii="Arial" w:hAnsi="Arial" w:cs="Arial"/>
        </w:rPr>
        <w:t xml:space="preserve">On an individual basis, there may be situations where a clinician believes that their patient’s clinical situation is so different to other patients with the same condition that they should receive a particular treatment when other patients would not. In such cases, NHS clinicians can ask </w:t>
      </w:r>
      <w:r w:rsidR="0062464A">
        <w:rPr>
          <w:rFonts w:ascii="Arial" w:hAnsi="Arial" w:cs="Arial"/>
        </w:rPr>
        <w:t>C</w:t>
      </w:r>
      <w:r w:rsidR="00DC7735">
        <w:rPr>
          <w:rFonts w:ascii="Arial" w:hAnsi="Arial" w:cs="Arial"/>
        </w:rPr>
        <w:t>entral East</w:t>
      </w:r>
      <w:r w:rsidRPr="0062464A">
        <w:rPr>
          <w:rFonts w:ascii="Arial" w:hAnsi="Arial" w:cs="Arial"/>
        </w:rPr>
        <w:t xml:space="preserve"> ICB, on behalf of a patient, to approve a treatment which would not usually </w:t>
      </w:r>
      <w:proofErr w:type="gramStart"/>
      <w:r w:rsidRPr="0062464A">
        <w:rPr>
          <w:rFonts w:ascii="Arial" w:hAnsi="Arial" w:cs="Arial"/>
        </w:rPr>
        <w:t>be provided</w:t>
      </w:r>
      <w:proofErr w:type="gramEnd"/>
      <w:r w:rsidRPr="0062464A">
        <w:rPr>
          <w:rFonts w:ascii="Arial" w:hAnsi="Arial" w:cs="Arial"/>
        </w:rPr>
        <w:t xml:space="preserve">. </w:t>
      </w:r>
      <w:r w:rsidR="00146D3A">
        <w:rPr>
          <w:rFonts w:ascii="Arial" w:hAnsi="Arial" w:cs="Arial"/>
        </w:rPr>
        <w:t xml:space="preserve">In </w:t>
      </w:r>
      <w:proofErr w:type="gramStart"/>
      <w:r w:rsidR="00146D3A">
        <w:rPr>
          <w:rFonts w:ascii="Arial" w:hAnsi="Arial" w:cs="Arial"/>
        </w:rPr>
        <w:t>the vast majority of</w:t>
      </w:r>
      <w:proofErr w:type="gramEnd"/>
      <w:r w:rsidR="00146D3A">
        <w:rPr>
          <w:rFonts w:ascii="Arial" w:hAnsi="Arial" w:cs="Arial"/>
        </w:rPr>
        <w:t xml:space="preserve"> cases</w:t>
      </w:r>
      <w:r w:rsidR="00D35C92">
        <w:rPr>
          <w:rFonts w:ascii="Arial" w:hAnsi="Arial" w:cs="Arial"/>
        </w:rPr>
        <w:t>,</w:t>
      </w:r>
      <w:r w:rsidRPr="0062464A">
        <w:rPr>
          <w:rFonts w:ascii="Arial" w:hAnsi="Arial" w:cs="Arial"/>
        </w:rPr>
        <w:t xml:space="preserve"> there is local or national policy/guidance</w:t>
      </w:r>
      <w:r w:rsidR="00D35C92">
        <w:rPr>
          <w:rFonts w:ascii="Arial" w:hAnsi="Arial" w:cs="Arial"/>
        </w:rPr>
        <w:t>/</w:t>
      </w:r>
      <w:r w:rsidR="00856452">
        <w:rPr>
          <w:rFonts w:ascii="Arial" w:hAnsi="Arial" w:cs="Arial"/>
        </w:rPr>
        <w:t>position,</w:t>
      </w:r>
      <w:r w:rsidRPr="0062464A">
        <w:rPr>
          <w:rFonts w:ascii="Arial" w:hAnsi="Arial" w:cs="Arial"/>
        </w:rPr>
        <w:t xml:space="preserve"> and</w:t>
      </w:r>
      <w:r w:rsidR="00CD5A03">
        <w:rPr>
          <w:rFonts w:ascii="Arial" w:hAnsi="Arial" w:cs="Arial"/>
        </w:rPr>
        <w:t xml:space="preserve"> if</w:t>
      </w:r>
      <w:r w:rsidRPr="0062464A">
        <w:rPr>
          <w:rFonts w:ascii="Arial" w:hAnsi="Arial" w:cs="Arial"/>
        </w:rPr>
        <w:t xml:space="preserve"> a clinician believes their patient is an exception to the rule, these are called Exceptional Cases</w:t>
      </w:r>
      <w:r w:rsidR="00D35C92">
        <w:rPr>
          <w:rFonts w:ascii="Arial" w:hAnsi="Arial" w:cs="Arial"/>
        </w:rPr>
        <w:t>. W</w:t>
      </w:r>
      <w:r w:rsidRPr="0062464A">
        <w:rPr>
          <w:rFonts w:ascii="Arial" w:hAnsi="Arial" w:cs="Arial"/>
        </w:rPr>
        <w:t>here there is no policy/guidance</w:t>
      </w:r>
      <w:r w:rsidR="00D35C92">
        <w:rPr>
          <w:rFonts w:ascii="Arial" w:hAnsi="Arial" w:cs="Arial"/>
        </w:rPr>
        <w:t>/position</w:t>
      </w:r>
      <w:r w:rsidRPr="0062464A">
        <w:rPr>
          <w:rFonts w:ascii="Arial" w:hAnsi="Arial" w:cs="Arial"/>
        </w:rPr>
        <w:t xml:space="preserve"> they </w:t>
      </w:r>
      <w:proofErr w:type="gramStart"/>
      <w:r w:rsidRPr="0062464A">
        <w:rPr>
          <w:rFonts w:ascii="Arial" w:hAnsi="Arial" w:cs="Arial"/>
        </w:rPr>
        <w:t>are called</w:t>
      </w:r>
      <w:proofErr w:type="gramEnd"/>
      <w:r w:rsidRPr="0062464A">
        <w:rPr>
          <w:rFonts w:ascii="Arial" w:hAnsi="Arial" w:cs="Arial"/>
        </w:rPr>
        <w:t xml:space="preserve"> Individual </w:t>
      </w:r>
      <w:r w:rsidR="003B6EE6">
        <w:rPr>
          <w:rFonts w:ascii="Arial" w:hAnsi="Arial" w:cs="Arial"/>
        </w:rPr>
        <w:t>Case</w:t>
      </w:r>
      <w:r w:rsidRPr="0062464A" w:rsidR="00DC7735">
        <w:rPr>
          <w:rFonts w:ascii="Arial" w:hAnsi="Arial" w:cs="Arial"/>
        </w:rPr>
        <w:t xml:space="preserve">s. Both </w:t>
      </w:r>
      <w:proofErr w:type="gramStart"/>
      <w:r w:rsidRPr="0062464A" w:rsidR="00DC7735">
        <w:rPr>
          <w:rFonts w:ascii="Arial" w:hAnsi="Arial" w:cs="Arial"/>
        </w:rPr>
        <w:t>are managed</w:t>
      </w:r>
      <w:proofErr w:type="gramEnd"/>
      <w:r w:rsidRPr="0062464A" w:rsidR="00DC7735">
        <w:rPr>
          <w:rFonts w:ascii="Arial" w:hAnsi="Arial" w:cs="Arial"/>
        </w:rPr>
        <w:t xml:space="preserve"> through the Individual Funding Requests (IFR) process and will hereby be referred to as IFRs (</w:t>
      </w:r>
      <w:r w:rsidR="00AB23EB">
        <w:rPr>
          <w:rFonts w:ascii="Arial" w:hAnsi="Arial" w:cs="Arial"/>
        </w:rPr>
        <w:t>S</w:t>
      </w:r>
      <w:r w:rsidRPr="0062464A" w:rsidR="00DC7735">
        <w:rPr>
          <w:rFonts w:ascii="Arial" w:hAnsi="Arial" w:cs="Arial"/>
        </w:rPr>
        <w:t xml:space="preserve">ee </w:t>
      </w:r>
      <w:r w:rsidRPr="005C44E2" w:rsidR="00DC7735">
        <w:rPr>
          <w:rFonts w:ascii="Arial" w:hAnsi="Arial" w:cs="Arial"/>
        </w:rPr>
        <w:t xml:space="preserve">section </w:t>
      </w:r>
      <w:r w:rsidR="004166E6">
        <w:rPr>
          <w:rFonts w:ascii="Arial" w:hAnsi="Arial" w:cs="Arial"/>
        </w:rPr>
        <w:t>4.1</w:t>
      </w:r>
      <w:r w:rsidRPr="0062464A" w:rsidR="00DC7735">
        <w:rPr>
          <w:rFonts w:ascii="Arial" w:hAnsi="Arial" w:cs="Arial"/>
        </w:rPr>
        <w:t>).</w:t>
      </w:r>
    </w:p>
    <w:p w:rsidR="00E24B37" w:rsidRDefault="00E24B37" w14:paraId="2E975307" w14:textId="77777777">
      <w:pPr>
        <w:rPr>
          <w:rFonts w:ascii="Arial" w:hAnsi="Arial" w:cs="Arial"/>
          <w:lang w:val="en-GB"/>
        </w:rPr>
      </w:pPr>
    </w:p>
    <w:p w:rsidRPr="0062464A" w:rsidR="005C30D6" w:rsidRDefault="007F3838" w14:paraId="407C1C8B" w14:textId="556569C3">
      <w:pPr>
        <w:rPr>
          <w:rFonts w:ascii="Arial" w:hAnsi="Arial" w:cs="Arial"/>
        </w:rPr>
      </w:pPr>
      <w:r w:rsidRPr="007F3838">
        <w:rPr>
          <w:rFonts w:ascii="Arial" w:hAnsi="Arial" w:cs="Arial"/>
          <w:lang w:val="en-GB"/>
        </w:rPr>
        <w:t>Not all treatments can be provided by the NHS and the decision to provide one treatment</w:t>
      </w:r>
      <w:r>
        <w:rPr>
          <w:rFonts w:ascii="Arial" w:hAnsi="Arial" w:cs="Arial"/>
          <w:lang w:val="en-GB"/>
        </w:rPr>
        <w:t xml:space="preserve"> which has not been budgeted for</w:t>
      </w:r>
      <w:r w:rsidRPr="007F3838">
        <w:rPr>
          <w:rFonts w:ascii="Arial" w:hAnsi="Arial" w:cs="Arial"/>
          <w:lang w:val="en-GB"/>
        </w:rPr>
        <w:t xml:space="preserve"> directly reduces the resources available for other treatments and services. </w:t>
      </w:r>
      <w:r w:rsidRPr="00D31268" w:rsidR="00DC7735">
        <w:rPr>
          <w:rFonts w:ascii="Arial" w:hAnsi="Arial" w:cs="Arial"/>
        </w:rPr>
        <w:t xml:space="preserve">There is not an allocated separate budget to meet the costs of providing treatments agreed through the IFR process. </w:t>
      </w:r>
      <w:r w:rsidRPr="00D31268" w:rsidR="00F06CA9">
        <w:rPr>
          <w:rFonts w:ascii="Arial" w:hAnsi="Arial" w:cs="Arial"/>
        </w:rPr>
        <w:t xml:space="preserve">The IFR panel </w:t>
      </w:r>
      <w:r w:rsidRPr="00D31268" w:rsidR="00D31268">
        <w:rPr>
          <w:rFonts w:ascii="Arial" w:hAnsi="Arial" w:cs="Arial"/>
        </w:rPr>
        <w:t>has</w:t>
      </w:r>
      <w:r w:rsidRPr="00D31268" w:rsidR="00F06CA9">
        <w:rPr>
          <w:rFonts w:ascii="Arial" w:hAnsi="Arial" w:cs="Arial"/>
        </w:rPr>
        <w:t xml:space="preserve"> delegated </w:t>
      </w:r>
      <w:r w:rsidRPr="00D31268" w:rsidR="00DD3E84">
        <w:rPr>
          <w:rFonts w:ascii="Arial" w:hAnsi="Arial" w:cs="Arial"/>
        </w:rPr>
        <w:t>authority</w:t>
      </w:r>
      <w:r w:rsidRPr="00D31268" w:rsidR="00F06CA9">
        <w:rPr>
          <w:rFonts w:ascii="Arial" w:hAnsi="Arial" w:cs="Arial"/>
        </w:rPr>
        <w:t xml:space="preserve"> to approve funding outside of what </w:t>
      </w:r>
      <w:proofErr w:type="gramStart"/>
      <w:r w:rsidRPr="00D31268" w:rsidR="00F06CA9">
        <w:rPr>
          <w:rFonts w:ascii="Arial" w:hAnsi="Arial" w:cs="Arial"/>
        </w:rPr>
        <w:t>is agreed</w:t>
      </w:r>
      <w:proofErr w:type="gramEnd"/>
      <w:r w:rsidRPr="00D31268" w:rsidR="00F06CA9">
        <w:rPr>
          <w:rFonts w:ascii="Arial" w:hAnsi="Arial" w:cs="Arial"/>
        </w:rPr>
        <w:t xml:space="preserve"> within commissioning contracts.</w:t>
      </w:r>
      <w:r w:rsidR="00D31268">
        <w:rPr>
          <w:rFonts w:ascii="Arial" w:hAnsi="Arial" w:cs="Arial"/>
        </w:rPr>
        <w:t xml:space="preserve"> </w:t>
      </w:r>
      <w:r w:rsidRPr="00D31268" w:rsidR="00F06CA9">
        <w:rPr>
          <w:rFonts w:ascii="Arial" w:hAnsi="Arial" w:cs="Arial"/>
        </w:rPr>
        <w:t xml:space="preserve">Therefore, </w:t>
      </w:r>
      <w:proofErr w:type="gramStart"/>
      <w:r w:rsidRPr="00D31268" w:rsidR="00F06CA9">
        <w:rPr>
          <w:rFonts w:ascii="Arial" w:hAnsi="Arial" w:cs="Arial"/>
        </w:rPr>
        <w:t>very careful</w:t>
      </w:r>
      <w:proofErr w:type="gramEnd"/>
      <w:r w:rsidRPr="00D31268" w:rsidR="00F06CA9">
        <w:rPr>
          <w:rFonts w:ascii="Arial" w:hAnsi="Arial" w:cs="Arial"/>
        </w:rPr>
        <w:t xml:space="preserve"> consideration is required before </w:t>
      </w:r>
      <w:r w:rsidRPr="00D31268" w:rsidR="000D7AAA">
        <w:rPr>
          <w:rFonts w:ascii="Arial" w:hAnsi="Arial" w:cs="Arial"/>
        </w:rPr>
        <w:t>a</w:t>
      </w:r>
      <w:r w:rsidRPr="00D31268" w:rsidR="00F06CA9">
        <w:rPr>
          <w:rFonts w:ascii="Arial" w:hAnsi="Arial" w:cs="Arial"/>
        </w:rPr>
        <w:t xml:space="preserve"> decision is taken </w:t>
      </w:r>
      <w:r w:rsidRPr="00D31268" w:rsidR="000D7AAA">
        <w:rPr>
          <w:rFonts w:ascii="Arial" w:hAnsi="Arial" w:cs="Arial"/>
        </w:rPr>
        <w:t xml:space="preserve">which </w:t>
      </w:r>
      <w:r w:rsidRPr="00D31268" w:rsidR="00AB23EB">
        <w:rPr>
          <w:rFonts w:ascii="Arial" w:hAnsi="Arial" w:cs="Arial"/>
        </w:rPr>
        <w:t>can</w:t>
      </w:r>
      <w:r w:rsidRPr="00D31268" w:rsidR="00A01EFC">
        <w:rPr>
          <w:rFonts w:ascii="Arial" w:hAnsi="Arial" w:cs="Arial"/>
        </w:rPr>
        <w:t xml:space="preserve"> justify</w:t>
      </w:r>
      <w:r w:rsidRPr="00D31268" w:rsidR="00F06CA9">
        <w:rPr>
          <w:rFonts w:ascii="Arial" w:hAnsi="Arial" w:cs="Arial"/>
        </w:rPr>
        <w:t xml:space="preserve"> fund</w:t>
      </w:r>
      <w:r w:rsidRPr="00D31268" w:rsidR="00A01EFC">
        <w:rPr>
          <w:rFonts w:ascii="Arial" w:hAnsi="Arial" w:cs="Arial"/>
        </w:rPr>
        <w:t>ing</w:t>
      </w:r>
      <w:r w:rsidRPr="00D31268" w:rsidR="00F06CA9">
        <w:rPr>
          <w:rFonts w:ascii="Arial" w:hAnsi="Arial" w:cs="Arial"/>
        </w:rPr>
        <w:t xml:space="preserve"> a treatment for an individual that is not usually available</w:t>
      </w:r>
      <w:r w:rsidRPr="00D31268" w:rsidR="005D2F21">
        <w:rPr>
          <w:rFonts w:ascii="Arial" w:hAnsi="Arial" w:cs="Arial"/>
        </w:rPr>
        <w:t xml:space="preserve"> for others and not considered to be a local healthcare priority.</w:t>
      </w:r>
      <w:r w:rsidRPr="007F3838">
        <w:rPr>
          <w:rFonts w:ascii="Arial" w:hAnsi="Arial" w:cs="Arial"/>
          <w:lang w:val="en-GB"/>
        </w:rPr>
        <w:t xml:space="preserve"> The fact that the ICB is not funding a healthcare need due to resource constraints does not indicate that the ICB is breaching its statutory obligations.</w:t>
      </w:r>
    </w:p>
    <w:p w:rsidR="00A01EFC" w:rsidP="00A01EFC" w:rsidRDefault="00F06CA9" w14:paraId="476ACF7E" w14:textId="61534451">
      <w:pPr>
        <w:rPr>
          <w:rFonts w:ascii="Arial" w:hAnsi="Arial" w:cs="Arial"/>
          <w:lang w:val="en-GB"/>
        </w:rPr>
      </w:pPr>
      <w:r w:rsidRPr="0062464A">
        <w:rPr>
          <w:rFonts w:ascii="Arial" w:hAnsi="Arial" w:cs="Arial"/>
        </w:rPr>
        <w:t xml:space="preserve">Where an outstanding healthcare need </w:t>
      </w:r>
      <w:proofErr w:type="gramStart"/>
      <w:r w:rsidRPr="0062464A">
        <w:rPr>
          <w:rFonts w:ascii="Arial" w:hAnsi="Arial" w:cs="Arial"/>
        </w:rPr>
        <w:t>is identified</w:t>
      </w:r>
      <w:proofErr w:type="gramEnd"/>
      <w:r w:rsidRPr="0062464A">
        <w:rPr>
          <w:rFonts w:ascii="Arial" w:hAnsi="Arial" w:cs="Arial"/>
        </w:rPr>
        <w:t xml:space="preserve"> which can be applied to a group of patients</w:t>
      </w:r>
      <w:r w:rsidR="005D2F21">
        <w:rPr>
          <w:rFonts w:ascii="Arial" w:hAnsi="Arial" w:cs="Arial"/>
        </w:rPr>
        <w:t xml:space="preserve"> </w:t>
      </w:r>
      <w:r w:rsidR="00A01EFC">
        <w:rPr>
          <w:rFonts w:ascii="Arial" w:hAnsi="Arial" w:cs="Arial"/>
        </w:rPr>
        <w:t xml:space="preserve">(a cohort) </w:t>
      </w:r>
      <w:r w:rsidR="005D2F21">
        <w:rPr>
          <w:rFonts w:ascii="Arial" w:hAnsi="Arial" w:cs="Arial"/>
        </w:rPr>
        <w:t>who could derive equal benefit from the intervention,</w:t>
      </w:r>
      <w:r w:rsidRPr="0062464A">
        <w:rPr>
          <w:rFonts w:ascii="Arial" w:hAnsi="Arial" w:cs="Arial"/>
        </w:rPr>
        <w:t xml:space="preserve"> a business case should be submitted for consideration of a service development (see section</w:t>
      </w:r>
      <w:r w:rsidR="005C44E2">
        <w:rPr>
          <w:rFonts w:ascii="Arial" w:hAnsi="Arial" w:cs="Arial"/>
        </w:rPr>
        <w:t xml:space="preserve"> 4.6</w:t>
      </w:r>
      <w:r w:rsidRPr="0062464A">
        <w:rPr>
          <w:rFonts w:ascii="Arial" w:hAnsi="Arial" w:cs="Arial"/>
        </w:rPr>
        <w:t xml:space="preserve">). </w:t>
      </w:r>
      <w:r w:rsidR="00E26DC4">
        <w:rPr>
          <w:rFonts w:ascii="Arial" w:hAnsi="Arial" w:cs="Arial"/>
        </w:rPr>
        <w:br/>
      </w:r>
      <w:r w:rsidR="00A01EFC">
        <w:rPr>
          <w:rFonts w:ascii="Arial" w:hAnsi="Arial" w:cs="Arial"/>
        </w:rPr>
        <w:br/>
      </w:r>
      <w:r w:rsidRPr="00A01EFC" w:rsidR="00A01EFC">
        <w:rPr>
          <w:rFonts w:ascii="Arial" w:hAnsi="Arial" w:cs="Arial"/>
          <w:lang w:val="en-GB"/>
        </w:rPr>
        <w:t xml:space="preserve">The IFR Policy and </w:t>
      </w:r>
      <w:r w:rsidR="00AE300A">
        <w:rPr>
          <w:rFonts w:ascii="Arial" w:hAnsi="Arial" w:cs="Arial"/>
          <w:lang w:val="en-GB"/>
        </w:rPr>
        <w:t>p</w:t>
      </w:r>
      <w:r w:rsidRPr="00A01EFC" w:rsidR="00A01EFC">
        <w:rPr>
          <w:rFonts w:ascii="Arial" w:hAnsi="Arial" w:cs="Arial"/>
          <w:lang w:val="en-GB"/>
        </w:rPr>
        <w:t>rocess ensure</w:t>
      </w:r>
      <w:r w:rsidR="00A01EFC">
        <w:rPr>
          <w:rFonts w:ascii="Arial" w:hAnsi="Arial" w:cs="Arial"/>
          <w:lang w:val="en-GB"/>
        </w:rPr>
        <w:t>s</w:t>
      </w:r>
      <w:r w:rsidRPr="00A01EFC" w:rsidR="00A01EFC">
        <w:rPr>
          <w:rFonts w:ascii="Arial" w:hAnsi="Arial" w:cs="Arial"/>
          <w:lang w:val="en-GB"/>
        </w:rPr>
        <w:t xml:space="preserve"> that each </w:t>
      </w:r>
      <w:r w:rsidR="00AE300A">
        <w:rPr>
          <w:rFonts w:ascii="Arial" w:hAnsi="Arial" w:cs="Arial"/>
          <w:lang w:val="en-GB"/>
        </w:rPr>
        <w:t>request</w:t>
      </w:r>
      <w:r w:rsidRPr="00A01EFC" w:rsidR="00A01EFC">
        <w:rPr>
          <w:rFonts w:ascii="Arial" w:hAnsi="Arial" w:cs="Arial"/>
          <w:lang w:val="en-GB"/>
        </w:rPr>
        <w:t xml:space="preserve"> is considered in a</w:t>
      </w:r>
      <w:r w:rsidR="00DC62DE">
        <w:rPr>
          <w:rFonts w:ascii="Arial" w:hAnsi="Arial" w:cs="Arial"/>
          <w:lang w:val="en-GB"/>
        </w:rPr>
        <w:t xml:space="preserve"> lawful,</w:t>
      </w:r>
      <w:r w:rsidRPr="00A01EFC" w:rsidR="00A01EFC">
        <w:rPr>
          <w:rFonts w:ascii="Arial" w:hAnsi="Arial" w:cs="Arial"/>
          <w:lang w:val="en-GB"/>
        </w:rPr>
        <w:t xml:space="preserve"> fair and transparent way. The IFR </w:t>
      </w:r>
      <w:r w:rsidR="00A01EFC">
        <w:rPr>
          <w:rFonts w:ascii="Arial" w:hAnsi="Arial" w:cs="Arial"/>
          <w:lang w:val="en-GB"/>
        </w:rPr>
        <w:t>team</w:t>
      </w:r>
      <w:r w:rsidRPr="00A01EFC" w:rsidR="00A01EFC">
        <w:rPr>
          <w:rFonts w:ascii="Arial" w:hAnsi="Arial" w:cs="Arial"/>
          <w:lang w:val="en-GB"/>
        </w:rPr>
        <w:t xml:space="preserve"> carry out</w:t>
      </w:r>
      <w:r w:rsidR="00A01EFC">
        <w:rPr>
          <w:rFonts w:ascii="Arial" w:hAnsi="Arial" w:cs="Arial"/>
          <w:lang w:val="en-GB"/>
        </w:rPr>
        <w:t xml:space="preserve"> Clinical Triage and Screening </w:t>
      </w:r>
      <w:r w:rsidRPr="00A01EFC" w:rsidR="00A01EFC">
        <w:rPr>
          <w:rFonts w:ascii="Arial" w:hAnsi="Arial" w:cs="Arial"/>
          <w:lang w:val="en-GB"/>
        </w:rPr>
        <w:t xml:space="preserve">of </w:t>
      </w:r>
      <w:r w:rsidR="00A01EFC">
        <w:rPr>
          <w:rFonts w:ascii="Arial" w:hAnsi="Arial" w:cs="Arial"/>
          <w:lang w:val="en-GB"/>
        </w:rPr>
        <w:t>applications</w:t>
      </w:r>
      <w:r w:rsidRPr="00A01EFC" w:rsidR="00A01EFC">
        <w:rPr>
          <w:rFonts w:ascii="Arial" w:hAnsi="Arial" w:cs="Arial"/>
          <w:lang w:val="en-GB"/>
        </w:rPr>
        <w:t xml:space="preserve"> </w:t>
      </w:r>
      <w:r w:rsidR="00A01EFC">
        <w:rPr>
          <w:rFonts w:ascii="Arial" w:hAnsi="Arial" w:cs="Arial"/>
          <w:lang w:val="en-GB"/>
        </w:rPr>
        <w:t xml:space="preserve">to </w:t>
      </w:r>
      <w:r w:rsidRPr="00A01EFC" w:rsidR="00A01EFC">
        <w:rPr>
          <w:rFonts w:ascii="Arial" w:hAnsi="Arial" w:cs="Arial"/>
          <w:lang w:val="en-GB"/>
        </w:rPr>
        <w:t xml:space="preserve">determine if the IFR meets this policy criteria. If the IFR proceeds beyond this stage, the case will be heard by the </w:t>
      </w:r>
      <w:r w:rsidR="00AE300A">
        <w:rPr>
          <w:rFonts w:ascii="Arial" w:hAnsi="Arial" w:cs="Arial"/>
          <w:lang w:val="en-GB"/>
        </w:rPr>
        <w:t>Central East ICB IFR and</w:t>
      </w:r>
      <w:r w:rsidRPr="00A01EFC" w:rsidR="00A01EFC">
        <w:rPr>
          <w:rFonts w:ascii="Arial" w:hAnsi="Arial" w:cs="Arial"/>
          <w:lang w:val="en-GB"/>
        </w:rPr>
        <w:t xml:space="preserve"> Exceptional Cases Panel</w:t>
      </w:r>
      <w:r w:rsidR="005C44E2">
        <w:rPr>
          <w:rFonts w:ascii="Arial" w:hAnsi="Arial" w:cs="Arial"/>
          <w:lang w:val="en-GB"/>
        </w:rPr>
        <w:t xml:space="preserve"> (see section 6).</w:t>
      </w:r>
    </w:p>
    <w:p w:rsidRPr="00743BD2" w:rsidR="000F4A20" w:rsidP="00D87A65" w:rsidRDefault="00B127A1" w14:paraId="3C863CA2" w14:textId="77C25685">
      <w:pPr>
        <w:pStyle w:val="Heading2"/>
        <w:numPr>
          <w:ilvl w:val="1"/>
          <w:numId w:val="8"/>
        </w:numPr>
        <w:rPr>
          <w:rFonts w:ascii="Arial" w:hAnsi="Arial" w:cs="Arial"/>
          <w:sz w:val="22"/>
          <w:szCs w:val="22"/>
        </w:rPr>
      </w:pPr>
      <w:r w:rsidRPr="00743BD2">
        <w:rPr>
          <w:rFonts w:ascii="Arial" w:hAnsi="Arial" w:cs="Arial"/>
          <w:sz w:val="22"/>
          <w:szCs w:val="22"/>
        </w:rPr>
        <w:t xml:space="preserve">Interim Process Arrangements </w:t>
      </w:r>
      <w:r w:rsidR="00856452">
        <w:rPr>
          <w:rFonts w:ascii="Arial" w:hAnsi="Arial" w:cs="Arial"/>
          <w:sz w:val="22"/>
          <w:szCs w:val="22"/>
        </w:rPr>
        <w:br/>
      </w:r>
    </w:p>
    <w:p w:rsidR="000F4A20" w:rsidP="000F4A20" w:rsidRDefault="000F4A20" w14:paraId="04D0E414" w14:textId="55E24950">
      <w:pPr>
        <w:rPr>
          <w:rFonts w:ascii="Arial" w:hAnsi="Arial" w:cs="Arial"/>
        </w:rPr>
      </w:pPr>
      <w:r w:rsidRPr="6F87A5EE">
        <w:rPr>
          <w:rFonts w:ascii="Arial" w:hAnsi="Arial" w:cs="Arial"/>
        </w:rPr>
        <w:t xml:space="preserve">In April 2026, Central East Integrated Care Board became a new legal entity, superseding the </w:t>
      </w:r>
      <w:r w:rsidR="00C737EB">
        <w:rPr>
          <w:rFonts w:ascii="Arial" w:hAnsi="Arial" w:cs="Arial"/>
        </w:rPr>
        <w:t>H</w:t>
      </w:r>
      <w:r w:rsidRPr="6F87A5EE">
        <w:rPr>
          <w:rFonts w:ascii="Arial" w:hAnsi="Arial" w:cs="Arial"/>
        </w:rPr>
        <w:t>ertfordshire</w:t>
      </w:r>
      <w:r w:rsidR="00C737EB">
        <w:rPr>
          <w:rFonts w:ascii="Arial" w:hAnsi="Arial" w:cs="Arial"/>
        </w:rPr>
        <w:t xml:space="preserve"> and West Essex ICB</w:t>
      </w:r>
      <w:r w:rsidRPr="6F87A5EE">
        <w:rPr>
          <w:rFonts w:ascii="Arial" w:hAnsi="Arial" w:cs="Arial"/>
        </w:rPr>
        <w:t>, Cambridge</w:t>
      </w:r>
      <w:r w:rsidRPr="6F87A5EE" w:rsidR="00544AA3">
        <w:rPr>
          <w:rFonts w:ascii="Arial" w:hAnsi="Arial" w:cs="Arial"/>
        </w:rPr>
        <w:t>shire</w:t>
      </w:r>
      <w:r w:rsidR="00C737EB">
        <w:rPr>
          <w:rFonts w:ascii="Arial" w:hAnsi="Arial" w:cs="Arial"/>
        </w:rPr>
        <w:t xml:space="preserve"> and</w:t>
      </w:r>
      <w:r w:rsidRPr="6F87A5EE">
        <w:rPr>
          <w:rFonts w:ascii="Arial" w:hAnsi="Arial" w:cs="Arial"/>
        </w:rPr>
        <w:t xml:space="preserve"> Peterborough</w:t>
      </w:r>
      <w:r w:rsidR="00C737EB">
        <w:rPr>
          <w:rFonts w:ascii="Arial" w:hAnsi="Arial" w:cs="Arial"/>
        </w:rPr>
        <w:t xml:space="preserve"> ICB and</w:t>
      </w:r>
      <w:r w:rsidRPr="6F87A5EE">
        <w:rPr>
          <w:rFonts w:ascii="Arial" w:hAnsi="Arial" w:cs="Arial"/>
        </w:rPr>
        <w:t xml:space="preserve"> Bedfordshire, </w:t>
      </w:r>
      <w:proofErr w:type="gramStart"/>
      <w:r w:rsidRPr="6F87A5EE">
        <w:rPr>
          <w:rFonts w:ascii="Arial" w:hAnsi="Arial" w:cs="Arial"/>
        </w:rPr>
        <w:t>Luton</w:t>
      </w:r>
      <w:proofErr w:type="gramEnd"/>
      <w:r w:rsidRPr="6F87A5EE">
        <w:rPr>
          <w:rFonts w:ascii="Arial" w:hAnsi="Arial" w:cs="Arial"/>
        </w:rPr>
        <w:t xml:space="preserve"> and Milton Keynes</w:t>
      </w:r>
      <w:r w:rsidR="00C737EB">
        <w:rPr>
          <w:rFonts w:ascii="Arial" w:hAnsi="Arial" w:cs="Arial"/>
        </w:rPr>
        <w:t xml:space="preserve"> ICB</w:t>
      </w:r>
      <w:r w:rsidRPr="6F87A5EE">
        <w:rPr>
          <w:rFonts w:ascii="Arial" w:hAnsi="Arial" w:cs="Arial"/>
        </w:rPr>
        <w:t xml:space="preserve">. </w:t>
      </w:r>
      <w:r w:rsidRPr="6F87A5EE" w:rsidR="004166E6">
        <w:rPr>
          <w:rFonts w:ascii="Arial" w:hAnsi="Arial" w:cs="Arial"/>
        </w:rPr>
        <w:t xml:space="preserve">All Clinical Policies and this IFR policy </w:t>
      </w:r>
      <w:r w:rsidRPr="6F87A5EE" w:rsidR="005C44E2">
        <w:rPr>
          <w:rFonts w:ascii="Arial" w:hAnsi="Arial" w:cs="Arial"/>
        </w:rPr>
        <w:t xml:space="preserve">have </w:t>
      </w:r>
      <w:proofErr w:type="gramStart"/>
      <w:r w:rsidRPr="6F87A5EE" w:rsidR="005C44E2">
        <w:rPr>
          <w:rFonts w:ascii="Arial" w:hAnsi="Arial" w:cs="Arial"/>
        </w:rPr>
        <w:t xml:space="preserve">been </w:t>
      </w:r>
      <w:r w:rsidRPr="6F87A5EE" w:rsidR="004166E6">
        <w:rPr>
          <w:rFonts w:ascii="Arial" w:hAnsi="Arial" w:cs="Arial"/>
        </w:rPr>
        <w:t>aligned</w:t>
      </w:r>
      <w:proofErr w:type="gramEnd"/>
      <w:r w:rsidRPr="6F87A5EE" w:rsidR="005C44E2">
        <w:rPr>
          <w:rFonts w:ascii="Arial" w:hAnsi="Arial" w:cs="Arial"/>
        </w:rPr>
        <w:t xml:space="preserve"> to ensure equal and fair access for all patients in the Central East ICB area</w:t>
      </w:r>
      <w:r w:rsidRPr="6F87A5EE" w:rsidR="004166E6">
        <w:rPr>
          <w:rFonts w:ascii="Arial" w:hAnsi="Arial" w:cs="Arial"/>
        </w:rPr>
        <w:t>. T</w:t>
      </w:r>
      <w:r w:rsidRPr="6F87A5EE">
        <w:rPr>
          <w:rFonts w:ascii="Arial" w:hAnsi="Arial" w:cs="Arial"/>
        </w:rPr>
        <w:t xml:space="preserve">ransformation work is underway to </w:t>
      </w:r>
      <w:r w:rsidRPr="6F87A5EE" w:rsidR="00DC62DE">
        <w:rPr>
          <w:rFonts w:ascii="Arial" w:hAnsi="Arial" w:cs="Arial"/>
        </w:rPr>
        <w:t>prioritise</w:t>
      </w:r>
      <w:r w:rsidRPr="6F87A5EE">
        <w:rPr>
          <w:rFonts w:ascii="Arial" w:hAnsi="Arial" w:cs="Arial"/>
        </w:rPr>
        <w:t xml:space="preserve"> full alignment of </w:t>
      </w:r>
      <w:r w:rsidRPr="6F87A5EE" w:rsidR="00DC62DE">
        <w:rPr>
          <w:rFonts w:ascii="Arial" w:hAnsi="Arial" w:cs="Arial"/>
        </w:rPr>
        <w:t>administrative</w:t>
      </w:r>
      <w:r w:rsidR="00B12EBE">
        <w:rPr>
          <w:rFonts w:ascii="Arial" w:hAnsi="Arial" w:cs="Arial"/>
        </w:rPr>
        <w:t xml:space="preserve"> and digital</w:t>
      </w:r>
      <w:r w:rsidRPr="6F87A5EE" w:rsidR="00DC62DE">
        <w:rPr>
          <w:rFonts w:ascii="Arial" w:hAnsi="Arial" w:cs="Arial"/>
        </w:rPr>
        <w:t xml:space="preserve"> </w:t>
      </w:r>
      <w:r w:rsidRPr="6F87A5EE">
        <w:rPr>
          <w:rFonts w:ascii="Arial" w:hAnsi="Arial" w:cs="Arial"/>
        </w:rPr>
        <w:t xml:space="preserve">processes. During the transition period, the established processes </w:t>
      </w:r>
      <w:r w:rsidRPr="6F87A5EE" w:rsidR="00AF05A8">
        <w:rPr>
          <w:rFonts w:ascii="Arial" w:hAnsi="Arial" w:cs="Arial"/>
        </w:rPr>
        <w:t>for</w:t>
      </w:r>
      <w:r w:rsidRPr="6F87A5EE">
        <w:rPr>
          <w:rFonts w:ascii="Arial" w:hAnsi="Arial" w:cs="Arial"/>
        </w:rPr>
        <w:t xml:space="preserve"> each legacy ICB will continue in line with their approved policies and Standard Operating Procedures. These are</w:t>
      </w:r>
    </w:p>
    <w:p w:rsidRPr="007A2371" w:rsidR="000F4A20" w:rsidP="00D87A65" w:rsidRDefault="000F4A20" w14:paraId="5CCA82D8" w14:textId="6DF4A4DF">
      <w:pPr>
        <w:pStyle w:val="ListParagraph"/>
        <w:numPr>
          <w:ilvl w:val="0"/>
          <w:numId w:val="20"/>
        </w:numPr>
        <w:rPr>
          <w:rFonts w:ascii="Arial" w:hAnsi="Arial" w:cs="Arial"/>
        </w:rPr>
      </w:pPr>
      <w:r w:rsidRPr="007A2371">
        <w:rPr>
          <w:rFonts w:ascii="Arial" w:hAnsi="Arial" w:cs="Arial"/>
        </w:rPr>
        <w:t>Hertfordshire and West Essex ICB</w:t>
      </w:r>
      <w:r>
        <w:rPr>
          <w:rFonts w:ascii="Arial" w:hAnsi="Arial" w:cs="Arial"/>
        </w:rPr>
        <w:t xml:space="preserve"> - </w:t>
      </w:r>
      <w:r w:rsidRPr="007A2371">
        <w:rPr>
          <w:rFonts w:ascii="Arial" w:hAnsi="Arial" w:eastAsia="Times New Roman" w:cs="Arial"/>
          <w:bCs/>
          <w:lang w:bidi="en-GB"/>
        </w:rPr>
        <w:t xml:space="preserve">Evidence Based Interventions and Individual Funding Requests Team Standard Operating Procedures </w:t>
      </w:r>
      <w:r>
        <w:rPr>
          <w:rFonts w:ascii="Arial" w:hAnsi="Arial" w:eastAsia="Times New Roman" w:cs="Arial"/>
          <w:bCs/>
          <w:lang w:bidi="en-GB"/>
        </w:rPr>
        <w:t>v2.1 January 2025</w:t>
      </w:r>
      <w:r w:rsidR="00B674F5">
        <w:rPr>
          <w:rFonts w:ascii="Arial" w:hAnsi="Arial" w:eastAsia="Times New Roman" w:cs="Arial"/>
          <w:bCs/>
          <w:lang w:bidi="en-GB"/>
        </w:rPr>
        <w:t>.</w:t>
      </w:r>
    </w:p>
    <w:p w:rsidRPr="007A2371" w:rsidR="000F4A20" w:rsidP="00D87A65" w:rsidRDefault="000F4A20" w14:paraId="600A7F6B" w14:textId="77777777">
      <w:pPr>
        <w:pStyle w:val="ListParagraph"/>
        <w:numPr>
          <w:ilvl w:val="0"/>
          <w:numId w:val="20"/>
        </w:numPr>
        <w:rPr>
          <w:rFonts w:ascii="Arial" w:hAnsi="Arial" w:cs="Arial"/>
        </w:rPr>
      </w:pPr>
      <w:r>
        <w:rPr>
          <w:rFonts w:ascii="Arial" w:hAnsi="Arial" w:eastAsia="Times New Roman" w:cs="Arial"/>
          <w:bCs/>
          <w:lang w:bidi="en-GB"/>
        </w:rPr>
        <w:t xml:space="preserve">Bedfordshire, </w:t>
      </w:r>
      <w:proofErr w:type="gramStart"/>
      <w:r>
        <w:rPr>
          <w:rFonts w:ascii="Arial" w:hAnsi="Arial" w:eastAsia="Times New Roman" w:cs="Arial"/>
          <w:bCs/>
          <w:lang w:bidi="en-GB"/>
        </w:rPr>
        <w:t>Luton</w:t>
      </w:r>
      <w:proofErr w:type="gramEnd"/>
      <w:r>
        <w:rPr>
          <w:rFonts w:ascii="Arial" w:hAnsi="Arial" w:eastAsia="Times New Roman" w:cs="Arial"/>
          <w:bCs/>
          <w:lang w:bidi="en-GB"/>
        </w:rPr>
        <w:t xml:space="preserve"> and Milton Keynes ICB – IFR Policy v3 Nov 2024. </w:t>
      </w:r>
    </w:p>
    <w:p w:rsidRPr="007A2371" w:rsidR="000F4A20" w:rsidP="00D87A65" w:rsidRDefault="000F4A20" w14:paraId="0DC71BBE" w14:textId="2B3EC443">
      <w:pPr>
        <w:pStyle w:val="ListParagraph"/>
        <w:numPr>
          <w:ilvl w:val="0"/>
          <w:numId w:val="20"/>
        </w:numPr>
        <w:rPr>
          <w:rFonts w:ascii="Arial" w:hAnsi="Arial" w:eastAsia="Times New Roman" w:cs="Arial"/>
          <w:b/>
          <w:bCs/>
          <w:lang w:bidi="en-GB"/>
        </w:rPr>
      </w:pPr>
      <w:r>
        <w:rPr>
          <w:rFonts w:ascii="Arial" w:hAnsi="Arial" w:eastAsia="Times New Roman" w:cs="Arial"/>
          <w:bCs/>
          <w:lang w:bidi="en-GB"/>
        </w:rPr>
        <w:t xml:space="preserve">Cambridge and Peterborough ICB - </w:t>
      </w:r>
      <w:r w:rsidRPr="007A2371">
        <w:rPr>
          <w:rFonts w:ascii="Arial" w:hAnsi="Arial" w:eastAsia="Times New Roman" w:cs="Arial"/>
          <w:lang w:bidi="en-GB"/>
        </w:rPr>
        <w:t>Exceptional and Individual Funding Request Policy</w:t>
      </w:r>
      <w:r>
        <w:rPr>
          <w:rFonts w:ascii="Arial" w:hAnsi="Arial" w:eastAsia="Times New Roman" w:cs="Arial"/>
          <w:lang w:bidi="en-GB"/>
        </w:rPr>
        <w:t xml:space="preserve"> v8 Jul 2022</w:t>
      </w:r>
      <w:r w:rsidR="00B674F5">
        <w:rPr>
          <w:rFonts w:ascii="Arial" w:hAnsi="Arial" w:eastAsia="Times New Roman" w:cs="Arial"/>
          <w:lang w:bidi="en-GB"/>
        </w:rPr>
        <w:t>.</w:t>
      </w:r>
    </w:p>
    <w:p w:rsidRPr="00494120" w:rsidR="000F4A20" w:rsidP="00D87A65" w:rsidRDefault="000F4A20" w14:paraId="03F2BCFF" w14:textId="48DD896B">
      <w:pPr>
        <w:pStyle w:val="Heading2"/>
        <w:numPr>
          <w:ilvl w:val="0"/>
          <w:numId w:val="8"/>
        </w:numPr>
      </w:pPr>
      <w:r w:rsidRPr="00494120">
        <w:t>Equality Statement</w:t>
      </w:r>
    </w:p>
    <w:p w:rsidR="00494120" w:rsidRDefault="00AF05A8" w14:paraId="01625EF0" w14:textId="65236198">
      <w:pPr>
        <w:rPr>
          <w:rFonts w:ascii="Arial" w:hAnsi="Arial" w:cs="Arial"/>
        </w:rPr>
      </w:pPr>
      <w:r>
        <w:rPr>
          <w:rFonts w:ascii="Arial" w:hAnsi="Arial" w:cs="Arial"/>
        </w:rPr>
        <w:t xml:space="preserve">Central East ICB </w:t>
      </w:r>
      <w:r w:rsidRPr="0062464A" w:rsidR="000F4A20">
        <w:rPr>
          <w:rFonts w:ascii="Arial" w:hAnsi="Arial" w:cs="Arial"/>
        </w:rPr>
        <w:t xml:space="preserve">is committed to meeting its duties under both: The </w:t>
      </w:r>
      <w:r>
        <w:rPr>
          <w:rFonts w:ascii="Arial" w:hAnsi="Arial" w:cs="Arial"/>
        </w:rPr>
        <w:t>Eq</w:t>
      </w:r>
      <w:r w:rsidRPr="0062464A" w:rsidR="000F4A20">
        <w:rPr>
          <w:rFonts w:ascii="Arial" w:hAnsi="Arial" w:cs="Arial"/>
        </w:rPr>
        <w:t xml:space="preserve">uality Act </w:t>
      </w:r>
      <w:r>
        <w:rPr>
          <w:rFonts w:ascii="Arial" w:hAnsi="Arial" w:cs="Arial"/>
        </w:rPr>
        <w:t>(</w:t>
      </w:r>
      <w:r w:rsidRPr="0062464A" w:rsidR="000F4A20">
        <w:rPr>
          <w:rFonts w:ascii="Arial" w:hAnsi="Arial" w:cs="Arial"/>
        </w:rPr>
        <w:t>2010</w:t>
      </w:r>
      <w:r>
        <w:rPr>
          <w:rFonts w:ascii="Arial" w:hAnsi="Arial" w:cs="Arial"/>
        </w:rPr>
        <w:t>)</w:t>
      </w:r>
      <w:r w:rsidR="000F4A20">
        <w:rPr>
          <w:rFonts w:ascii="Arial" w:hAnsi="Arial" w:cs="Arial"/>
        </w:rPr>
        <w:t xml:space="preserve"> </w:t>
      </w:r>
      <w:r w:rsidRPr="0062464A" w:rsidR="000F4A20">
        <w:rPr>
          <w:rFonts w:ascii="Arial" w:hAnsi="Arial" w:cs="Arial"/>
        </w:rPr>
        <w:t>and The Public Sector</w:t>
      </w:r>
      <w:r>
        <w:rPr>
          <w:rFonts w:ascii="Arial" w:hAnsi="Arial" w:cs="Arial"/>
        </w:rPr>
        <w:t xml:space="preserve"> Equality</w:t>
      </w:r>
      <w:r w:rsidRPr="0062464A" w:rsidR="000F4A20">
        <w:rPr>
          <w:rFonts w:ascii="Arial" w:hAnsi="Arial" w:cs="Arial"/>
        </w:rPr>
        <w:t xml:space="preserve"> Duty </w:t>
      </w:r>
      <w:r>
        <w:rPr>
          <w:rFonts w:ascii="Arial" w:hAnsi="Arial" w:cs="Arial"/>
        </w:rPr>
        <w:t>(</w:t>
      </w:r>
      <w:r w:rsidRPr="0062464A" w:rsidR="000F4A20">
        <w:rPr>
          <w:rFonts w:ascii="Arial" w:hAnsi="Arial" w:cs="Arial"/>
        </w:rPr>
        <w:t>2011</w:t>
      </w:r>
      <w:r>
        <w:rPr>
          <w:rFonts w:ascii="Arial" w:hAnsi="Arial" w:cs="Arial"/>
        </w:rPr>
        <w:t>).</w:t>
      </w:r>
      <w:r w:rsidRPr="0062464A" w:rsidR="000F4A20">
        <w:rPr>
          <w:rFonts w:ascii="Arial" w:hAnsi="Arial" w:cs="Arial"/>
        </w:rPr>
        <w:t xml:space="preserve"> Promoting equality and addressing health inequalities are at the heart of the NHS values. Throughout the development of this policy, we have: Given due regard to the need to eliminate discrimination, harassment and victimisation, to advance equality of opportunity and to foster good relations between people who share a relevant protected characteristic (Equality Act, 2010) and those who do not share it; and given regard to the need to reduce inequalities between patients in access to, and outcomes from healthcare services and to ensure services are provided in an integrated way where this might reduce health inequalities.</w:t>
      </w:r>
      <w:r w:rsidR="000F4A20">
        <w:rPr>
          <w:rFonts w:ascii="Arial" w:hAnsi="Arial" w:cs="Arial"/>
        </w:rPr>
        <w:t xml:space="preserve"> </w:t>
      </w:r>
      <w:r>
        <w:rPr>
          <w:rFonts w:ascii="Arial" w:hAnsi="Arial" w:cs="Arial"/>
        </w:rPr>
        <w:t xml:space="preserve">Central East ICB </w:t>
      </w:r>
      <w:r w:rsidRPr="0062464A" w:rsidR="000F4A20">
        <w:rPr>
          <w:rFonts w:ascii="Arial" w:hAnsi="Arial" w:cs="Arial"/>
        </w:rPr>
        <w:t xml:space="preserve">considers </w:t>
      </w:r>
      <w:proofErr w:type="gramStart"/>
      <w:r w:rsidRPr="0062464A" w:rsidR="000F4A20">
        <w:rPr>
          <w:rFonts w:ascii="Arial" w:hAnsi="Arial" w:cs="Arial"/>
        </w:rPr>
        <w:t>each individual</w:t>
      </w:r>
      <w:proofErr w:type="gramEnd"/>
      <w:r w:rsidRPr="0062464A" w:rsidR="000F4A20">
        <w:rPr>
          <w:rFonts w:ascii="Arial" w:hAnsi="Arial" w:cs="Arial"/>
        </w:rPr>
        <w:t xml:space="preserve"> within our </w:t>
      </w:r>
      <w:r w:rsidRPr="0062464A" w:rsidR="00856452">
        <w:rPr>
          <w:rFonts w:ascii="Arial" w:hAnsi="Arial" w:cs="Arial"/>
        </w:rPr>
        <w:t>population</w:t>
      </w:r>
      <w:r w:rsidRPr="0062464A" w:rsidR="000F4A20">
        <w:rPr>
          <w:rFonts w:ascii="Arial" w:hAnsi="Arial" w:cs="Arial"/>
        </w:rPr>
        <w:t xml:space="preserve"> to be of equal value. We will not discriminate between individuals or groups </w:t>
      </w:r>
      <w:proofErr w:type="gramStart"/>
      <w:r w:rsidRPr="0062464A" w:rsidR="000F4A20">
        <w:rPr>
          <w:rFonts w:ascii="Arial" w:hAnsi="Arial" w:cs="Arial"/>
        </w:rPr>
        <w:t>on the basis of</w:t>
      </w:r>
      <w:proofErr w:type="gramEnd"/>
      <w:r w:rsidRPr="0062464A" w:rsidR="000F4A20">
        <w:rPr>
          <w:rFonts w:ascii="Arial" w:hAnsi="Arial" w:cs="Arial"/>
        </w:rPr>
        <w:t xml:space="preserve"> any protected characteristics. However, where treatments have a differential impact </w:t>
      </w:r>
      <w:proofErr w:type="gramStart"/>
      <w:r w:rsidRPr="0062464A" w:rsidR="000F4A20">
        <w:rPr>
          <w:rFonts w:ascii="Arial" w:hAnsi="Arial" w:cs="Arial"/>
        </w:rPr>
        <w:t>as a result of</w:t>
      </w:r>
      <w:proofErr w:type="gramEnd"/>
      <w:r w:rsidRPr="0062464A" w:rsidR="000F4A20">
        <w:rPr>
          <w:rFonts w:ascii="Arial" w:hAnsi="Arial" w:cs="Arial"/>
        </w:rPr>
        <w:t xml:space="preserve"> age, disability, sex or other characteristics of the patient, it is legitimate to take such factors into account.</w:t>
      </w:r>
    </w:p>
    <w:p w:rsidRPr="0062464A" w:rsidR="005C30D6" w:rsidP="00D87A65" w:rsidRDefault="00F06CA9" w14:paraId="294A145D" w14:textId="3CBAE1FE">
      <w:pPr>
        <w:pStyle w:val="Heading2"/>
        <w:numPr>
          <w:ilvl w:val="0"/>
          <w:numId w:val="8"/>
        </w:numPr>
        <w:rPr>
          <w:rFonts w:ascii="Arial" w:hAnsi="Arial" w:cs="Arial"/>
          <w:sz w:val="22"/>
          <w:szCs w:val="22"/>
        </w:rPr>
      </w:pPr>
      <w:r w:rsidRPr="0062464A">
        <w:rPr>
          <w:rFonts w:ascii="Arial" w:hAnsi="Arial" w:cs="Arial"/>
          <w:sz w:val="22"/>
          <w:szCs w:val="22"/>
        </w:rPr>
        <w:t>Purpose and Scope</w:t>
      </w:r>
    </w:p>
    <w:p w:rsidR="000758E7" w:rsidP="000758E7" w:rsidRDefault="000758E7" w14:paraId="2A9AAFA3" w14:textId="22571D52">
      <w:pPr>
        <w:rPr>
          <w:rFonts w:ascii="Arial" w:hAnsi="Arial" w:cs="Arial"/>
        </w:rPr>
      </w:pPr>
      <w:r w:rsidRPr="0062464A">
        <w:rPr>
          <w:rFonts w:ascii="Arial" w:hAnsi="Arial" w:cs="Arial"/>
        </w:rPr>
        <w:t xml:space="preserve">This </w:t>
      </w:r>
      <w:r w:rsidR="00CE3602">
        <w:rPr>
          <w:rFonts w:ascii="Arial" w:hAnsi="Arial" w:cs="Arial"/>
        </w:rPr>
        <w:t>p</w:t>
      </w:r>
      <w:r w:rsidRPr="0062464A">
        <w:rPr>
          <w:rFonts w:ascii="Arial" w:hAnsi="Arial" w:cs="Arial"/>
        </w:rPr>
        <w:t>olicy applies to</w:t>
      </w:r>
      <w:r w:rsidR="00CE3602">
        <w:rPr>
          <w:rFonts w:ascii="Arial" w:hAnsi="Arial" w:cs="Arial"/>
        </w:rPr>
        <w:t>:</w:t>
      </w:r>
    </w:p>
    <w:p w:rsidR="000758E7" w:rsidP="00D87A65" w:rsidRDefault="00CE3602" w14:paraId="0B50CB39" w14:textId="6FFAEDB5">
      <w:pPr>
        <w:pStyle w:val="ListParagraph"/>
        <w:numPr>
          <w:ilvl w:val="0"/>
          <w:numId w:val="9"/>
        </w:numPr>
        <w:rPr>
          <w:rFonts w:ascii="Arial" w:hAnsi="Arial" w:cs="Arial"/>
        </w:rPr>
      </w:pPr>
      <w:r w:rsidRPr="000758E7">
        <w:rPr>
          <w:rFonts w:ascii="Arial" w:hAnsi="Arial" w:cs="Arial"/>
        </w:rPr>
        <w:t>A</w:t>
      </w:r>
      <w:r w:rsidRPr="000758E7" w:rsidR="000758E7">
        <w:rPr>
          <w:rFonts w:ascii="Arial" w:hAnsi="Arial" w:cs="Arial"/>
        </w:rPr>
        <w:t>ll</w:t>
      </w:r>
      <w:r>
        <w:rPr>
          <w:rFonts w:ascii="Arial" w:hAnsi="Arial" w:cs="Arial"/>
        </w:rPr>
        <w:t xml:space="preserve"> Central East</w:t>
      </w:r>
      <w:r w:rsidRPr="000758E7" w:rsidR="000758E7">
        <w:rPr>
          <w:rFonts w:ascii="Arial" w:hAnsi="Arial" w:cs="Arial"/>
        </w:rPr>
        <w:t xml:space="preserve"> ICB staff members, including Board Members of the ICB and Practice Representatives involved in the ICB’s Policy making processes, whether permanent, </w:t>
      </w:r>
      <w:proofErr w:type="gramStart"/>
      <w:r w:rsidRPr="000758E7" w:rsidR="000758E7">
        <w:rPr>
          <w:rFonts w:ascii="Arial" w:hAnsi="Arial" w:cs="Arial"/>
        </w:rPr>
        <w:t>temporary</w:t>
      </w:r>
      <w:proofErr w:type="gramEnd"/>
      <w:r w:rsidRPr="000758E7" w:rsidR="000758E7">
        <w:rPr>
          <w:rFonts w:ascii="Arial" w:hAnsi="Arial" w:cs="Arial"/>
        </w:rPr>
        <w:t xml:space="preserve"> or </w:t>
      </w:r>
      <w:r w:rsidRPr="000758E7" w:rsidR="00E24B37">
        <w:rPr>
          <w:rFonts w:ascii="Arial" w:hAnsi="Arial" w:cs="Arial"/>
        </w:rPr>
        <w:t>contracted in</w:t>
      </w:r>
      <w:r w:rsidRPr="000758E7" w:rsidR="000758E7">
        <w:rPr>
          <w:rFonts w:ascii="Arial" w:hAnsi="Arial" w:cs="Arial"/>
        </w:rPr>
        <w:t xml:space="preserve"> under a contract for service (either as an individual or through a </w:t>
      </w:r>
      <w:r w:rsidRPr="000758E7" w:rsidR="00AB23EB">
        <w:rPr>
          <w:rFonts w:ascii="Arial" w:hAnsi="Arial" w:cs="Arial"/>
        </w:rPr>
        <w:t>third-party</w:t>
      </w:r>
      <w:r w:rsidRPr="000758E7" w:rsidR="000758E7">
        <w:rPr>
          <w:rFonts w:ascii="Arial" w:hAnsi="Arial" w:cs="Arial"/>
        </w:rPr>
        <w:t xml:space="preserve"> supplier). </w:t>
      </w:r>
    </w:p>
    <w:p w:rsidR="000758E7" w:rsidP="00D87A65" w:rsidRDefault="00CE3602" w14:paraId="3590F65E" w14:textId="3E696D5A">
      <w:pPr>
        <w:pStyle w:val="ListParagraph"/>
        <w:numPr>
          <w:ilvl w:val="0"/>
          <w:numId w:val="9"/>
        </w:numPr>
        <w:rPr>
          <w:rFonts w:ascii="Arial" w:hAnsi="Arial" w:cs="Arial"/>
        </w:rPr>
      </w:pPr>
      <w:r>
        <w:rPr>
          <w:rFonts w:ascii="Arial" w:hAnsi="Arial" w:cs="Arial"/>
        </w:rPr>
        <w:t xml:space="preserve">All </w:t>
      </w:r>
      <w:r w:rsidRPr="000758E7" w:rsidR="000758E7">
        <w:rPr>
          <w:rFonts w:ascii="Arial" w:hAnsi="Arial" w:cs="Arial"/>
        </w:rPr>
        <w:t>patients registered with a GP Practice in</w:t>
      </w:r>
      <w:r>
        <w:rPr>
          <w:rFonts w:ascii="Arial" w:hAnsi="Arial" w:cs="Arial"/>
        </w:rPr>
        <w:t xml:space="preserve"> the</w:t>
      </w:r>
      <w:r w:rsidRPr="000758E7" w:rsidR="000758E7">
        <w:rPr>
          <w:rFonts w:ascii="Arial" w:hAnsi="Arial" w:cs="Arial"/>
        </w:rPr>
        <w:t xml:space="preserve"> </w:t>
      </w:r>
      <w:r w:rsidR="000758E7">
        <w:rPr>
          <w:rFonts w:ascii="Arial" w:hAnsi="Arial" w:cs="Arial"/>
        </w:rPr>
        <w:t>Central East ICB area</w:t>
      </w:r>
      <w:r w:rsidRPr="000758E7" w:rsidR="000758E7">
        <w:rPr>
          <w:rFonts w:ascii="Arial" w:hAnsi="Arial" w:cs="Arial"/>
        </w:rPr>
        <w:t xml:space="preserve">. </w:t>
      </w:r>
    </w:p>
    <w:p w:rsidRPr="000758E7" w:rsidR="000758E7" w:rsidP="00D87A65" w:rsidRDefault="00CE3602" w14:paraId="2705F527" w14:textId="11341123">
      <w:pPr>
        <w:pStyle w:val="ListParagraph"/>
        <w:numPr>
          <w:ilvl w:val="0"/>
          <w:numId w:val="9"/>
        </w:numPr>
        <w:spacing w:after="0"/>
        <w:rPr>
          <w:rFonts w:ascii="Arial" w:hAnsi="Arial" w:cs="Arial"/>
        </w:rPr>
      </w:pPr>
      <w:r>
        <w:rPr>
          <w:rFonts w:ascii="Arial" w:hAnsi="Arial" w:cs="Arial"/>
        </w:rPr>
        <w:t>A</w:t>
      </w:r>
      <w:r w:rsidRPr="000758E7" w:rsidR="000758E7">
        <w:rPr>
          <w:rFonts w:ascii="Arial" w:hAnsi="Arial" w:cs="Arial"/>
        </w:rPr>
        <w:t xml:space="preserve">ll </w:t>
      </w:r>
      <w:r w:rsidR="00E24B37">
        <w:rPr>
          <w:rFonts w:ascii="Arial" w:hAnsi="Arial" w:cs="Arial"/>
        </w:rPr>
        <w:t>healthcare providers</w:t>
      </w:r>
      <w:r w:rsidRPr="000758E7" w:rsidR="000758E7">
        <w:rPr>
          <w:rFonts w:ascii="Arial" w:hAnsi="Arial" w:cs="Arial"/>
        </w:rPr>
        <w:t xml:space="preserve"> to Central East ICB’s patients</w:t>
      </w:r>
      <w:r>
        <w:rPr>
          <w:rFonts w:ascii="Arial" w:hAnsi="Arial" w:cs="Arial"/>
        </w:rPr>
        <w:t>.</w:t>
      </w:r>
      <w:r w:rsidRPr="000758E7" w:rsidR="000758E7">
        <w:rPr>
          <w:rFonts w:ascii="Arial" w:hAnsi="Arial" w:cs="Arial"/>
        </w:rPr>
        <w:t xml:space="preserve"> </w:t>
      </w:r>
      <w:r w:rsidR="000758E7">
        <w:rPr>
          <w:rFonts w:ascii="Arial" w:hAnsi="Arial" w:cs="Arial"/>
        </w:rPr>
        <w:br/>
      </w:r>
    </w:p>
    <w:p w:rsidRPr="00CE3602" w:rsidR="00CE3602" w:rsidP="00CE3602" w:rsidRDefault="00CE3602" w14:paraId="22BB7007" w14:textId="0DDD5B5C">
      <w:pPr>
        <w:rPr>
          <w:rFonts w:ascii="Arial" w:hAnsi="Arial" w:cs="Arial"/>
          <w:lang w:val="en-GB"/>
        </w:rPr>
      </w:pPr>
      <w:r w:rsidRPr="00CE3602">
        <w:rPr>
          <w:rFonts w:ascii="Arial" w:hAnsi="Arial" w:cs="Arial"/>
          <w:lang w:val="en-GB"/>
        </w:rPr>
        <w:t>This</w:t>
      </w:r>
      <w:r>
        <w:rPr>
          <w:rFonts w:ascii="Arial" w:hAnsi="Arial" w:cs="Arial"/>
          <w:lang w:val="en-GB"/>
        </w:rPr>
        <w:t xml:space="preserve"> policy</w:t>
      </w:r>
      <w:r w:rsidRPr="00CE3602">
        <w:rPr>
          <w:rFonts w:ascii="Arial" w:hAnsi="Arial" w:cs="Arial"/>
          <w:lang w:val="en-GB"/>
        </w:rPr>
        <w:t xml:space="preserve"> covers the following:</w:t>
      </w:r>
    </w:p>
    <w:p w:rsidR="00CE3602" w:rsidP="00D87A65" w:rsidRDefault="00CE3602" w14:paraId="66FFC838" w14:textId="4CD51A19">
      <w:pPr>
        <w:pStyle w:val="ListParagraph"/>
        <w:numPr>
          <w:ilvl w:val="0"/>
          <w:numId w:val="10"/>
        </w:numPr>
        <w:rPr>
          <w:rFonts w:ascii="Arial" w:hAnsi="Arial" w:cs="Arial"/>
          <w:lang w:val="en-GB"/>
        </w:rPr>
      </w:pPr>
      <w:r w:rsidRPr="00CE3602">
        <w:rPr>
          <w:rFonts w:ascii="Arial" w:hAnsi="Arial" w:cs="Arial"/>
          <w:lang w:val="en-GB"/>
        </w:rPr>
        <w:t>All IFR applications for adults and children where the ICB is the responsible commissioner</w:t>
      </w:r>
      <w:r>
        <w:rPr>
          <w:rFonts w:ascii="Arial" w:hAnsi="Arial" w:cs="Arial"/>
          <w:lang w:val="en-GB"/>
        </w:rPr>
        <w:t>.</w:t>
      </w:r>
      <w:r w:rsidRPr="00CE3602">
        <w:rPr>
          <w:rFonts w:ascii="Arial" w:hAnsi="Arial" w:cs="Arial"/>
          <w:lang w:val="en-GB"/>
        </w:rPr>
        <w:t xml:space="preserve"> </w:t>
      </w:r>
    </w:p>
    <w:p w:rsidR="00CE3602" w:rsidP="51FE36A4" w:rsidRDefault="00CE3602" w14:paraId="7C2600A4" w14:textId="275E38C2">
      <w:pPr>
        <w:pStyle w:val="ListParagraph"/>
        <w:numPr>
          <w:ilvl w:val="0"/>
          <w:numId w:val="10"/>
        </w:numPr>
        <w:rPr>
          <w:rFonts w:ascii="Arial" w:hAnsi="Arial" w:cs="Arial"/>
        </w:rPr>
      </w:pPr>
      <w:r w:rsidRPr="51FE36A4">
        <w:rPr>
          <w:rFonts w:ascii="Arial" w:hAnsi="Arial" w:cs="Arial"/>
        </w:rPr>
        <w:t xml:space="preserve">The principles and arrangements to consider </w:t>
      </w:r>
      <w:r w:rsidR="00A771F8">
        <w:rPr>
          <w:rFonts w:ascii="Arial" w:hAnsi="Arial" w:cs="Arial"/>
        </w:rPr>
        <w:t>requests which do</w:t>
      </w:r>
      <w:r w:rsidRPr="51FE36A4">
        <w:rPr>
          <w:rFonts w:ascii="Arial" w:hAnsi="Arial" w:cs="Arial"/>
        </w:rPr>
        <w:t xml:space="preserve"> not fall within existing ICB contracts</w:t>
      </w:r>
      <w:proofErr w:type="gramStart"/>
      <w:r w:rsidRPr="51FE36A4">
        <w:rPr>
          <w:rFonts w:ascii="Arial" w:hAnsi="Arial" w:cs="Arial"/>
        </w:rPr>
        <w:t xml:space="preserve">.  </w:t>
      </w:r>
      <w:proofErr w:type="gramEnd"/>
    </w:p>
    <w:p w:rsidRPr="00CE3602" w:rsidR="00CE3602" w:rsidP="00D87A65" w:rsidRDefault="00CE3602" w14:paraId="568D74C3" w14:textId="6FD960B0">
      <w:pPr>
        <w:pStyle w:val="ListParagraph"/>
        <w:numPr>
          <w:ilvl w:val="0"/>
          <w:numId w:val="10"/>
        </w:numPr>
        <w:rPr>
          <w:rFonts w:ascii="Arial" w:hAnsi="Arial" w:cs="Arial"/>
          <w:lang w:val="en-GB"/>
        </w:rPr>
      </w:pPr>
      <w:r w:rsidRPr="00CE3602">
        <w:rPr>
          <w:rFonts w:ascii="Arial" w:hAnsi="Arial" w:cs="Arial"/>
          <w:lang w:val="en-GB"/>
        </w:rPr>
        <w:t>The structure and function of the ICB’s IFR and Exceptional Cases Panel</w:t>
      </w:r>
      <w:r w:rsidR="00A771F8">
        <w:rPr>
          <w:rFonts w:ascii="Arial" w:hAnsi="Arial" w:cs="Arial"/>
          <w:lang w:val="en-GB"/>
        </w:rPr>
        <w:t>.</w:t>
      </w:r>
    </w:p>
    <w:p w:rsidR="000758E7" w:rsidP="000758E7" w:rsidRDefault="00FB046C" w14:paraId="5B71BA84" w14:textId="4516A1DD">
      <w:pPr>
        <w:rPr>
          <w:rFonts w:ascii="Arial" w:hAnsi="Arial" w:cs="Arial"/>
        </w:rPr>
      </w:pPr>
      <w:r w:rsidRPr="41736E39">
        <w:rPr>
          <w:rFonts w:ascii="Arial" w:hAnsi="Arial" w:cs="Arial"/>
        </w:rPr>
        <w:t xml:space="preserve">This policy does not include the specific process arrangements which </w:t>
      </w:r>
      <w:proofErr w:type="gramStart"/>
      <w:r w:rsidRPr="41736E39">
        <w:rPr>
          <w:rFonts w:ascii="Arial" w:hAnsi="Arial" w:cs="Arial"/>
        </w:rPr>
        <w:t>are covered</w:t>
      </w:r>
      <w:proofErr w:type="gramEnd"/>
      <w:r w:rsidRPr="41736E39">
        <w:rPr>
          <w:rFonts w:ascii="Arial" w:hAnsi="Arial" w:cs="Arial"/>
        </w:rPr>
        <w:t xml:space="preserve"> in the separate </w:t>
      </w:r>
      <w:r>
        <w:rPr>
          <w:rFonts w:ascii="Arial" w:hAnsi="Arial" w:cs="Arial"/>
        </w:rPr>
        <w:t>Standard</w:t>
      </w:r>
      <w:r w:rsidRPr="41736E39">
        <w:rPr>
          <w:rFonts w:ascii="Arial" w:hAnsi="Arial" w:cs="Arial"/>
        </w:rPr>
        <w:t xml:space="preserve"> Operat</w:t>
      </w:r>
      <w:r>
        <w:rPr>
          <w:rFonts w:ascii="Arial" w:hAnsi="Arial" w:cs="Arial"/>
        </w:rPr>
        <w:t>ing</w:t>
      </w:r>
      <w:r w:rsidRPr="41736E39">
        <w:rPr>
          <w:rFonts w:ascii="Arial" w:hAnsi="Arial" w:cs="Arial"/>
        </w:rPr>
        <w:t xml:space="preserve"> Procedures (SOP)</w:t>
      </w:r>
      <w:r>
        <w:rPr>
          <w:rFonts w:ascii="Arial" w:hAnsi="Arial" w:cs="Arial"/>
        </w:rPr>
        <w:t xml:space="preserve"> </w:t>
      </w:r>
      <w:r w:rsidR="000758E7">
        <w:rPr>
          <w:rFonts w:ascii="Arial" w:hAnsi="Arial" w:cs="Arial"/>
        </w:rPr>
        <w:t>or legacy place based IFR policies</w:t>
      </w:r>
      <w:r w:rsidR="003B6EF0">
        <w:rPr>
          <w:rFonts w:ascii="Arial" w:hAnsi="Arial" w:cs="Arial"/>
        </w:rPr>
        <w:t xml:space="preserve"> (see section 1.1). </w:t>
      </w:r>
    </w:p>
    <w:p w:rsidR="00FB046C" w:rsidRDefault="00FB046C" w14:paraId="2BBD788B" w14:textId="7DB74E85">
      <w:pPr>
        <w:rPr>
          <w:rFonts w:ascii="Arial" w:hAnsi="Arial" w:cs="Arial"/>
        </w:rPr>
      </w:pPr>
      <w:r w:rsidRPr="6F87A5EE">
        <w:rPr>
          <w:rFonts w:ascii="Arial" w:hAnsi="Arial" w:cs="Arial"/>
        </w:rPr>
        <w:t xml:space="preserve">These </w:t>
      </w:r>
      <w:r w:rsidRPr="6F87A5EE" w:rsidR="00CE3602">
        <w:rPr>
          <w:rFonts w:ascii="Arial" w:hAnsi="Arial" w:cs="Arial"/>
        </w:rPr>
        <w:t>processes</w:t>
      </w:r>
      <w:r w:rsidRPr="6F87A5EE">
        <w:rPr>
          <w:rFonts w:ascii="Arial" w:hAnsi="Arial" w:cs="Arial"/>
        </w:rPr>
        <w:t xml:space="preserve"> and documents demonstrate that clear and transparent processes are in place for decision making and provide assurance to patients and clinicians that decisions are made in a fair, open, equitable and consistent manner in line with the NHS Constitution (July 2015)</w:t>
      </w:r>
      <w:r w:rsidR="00446396">
        <w:rPr>
          <w:rFonts w:ascii="Arial" w:hAnsi="Arial" w:cs="Arial"/>
        </w:rPr>
        <w:t xml:space="preserve">, </w:t>
      </w:r>
      <w:r w:rsidRPr="6F87A5EE">
        <w:rPr>
          <w:rFonts w:ascii="Arial" w:hAnsi="Arial" w:cs="Arial"/>
        </w:rPr>
        <w:t>which informs patients “</w:t>
      </w:r>
      <w:r w:rsidRPr="6F87A5EE">
        <w:rPr>
          <w:rFonts w:ascii="Arial" w:hAnsi="Arial" w:cs="Arial"/>
          <w:i/>
          <w:iCs/>
        </w:rPr>
        <w:t>If the local NHS decides not to fund a drug or treatment you and your doctor feel would be right for you, they will explain that decision to you</w:t>
      </w:r>
      <w:r w:rsidRPr="6F87A5EE">
        <w:rPr>
          <w:rFonts w:ascii="Arial" w:hAnsi="Arial" w:cs="Arial"/>
        </w:rPr>
        <w:t>.”</w:t>
      </w:r>
      <w:r>
        <w:br/>
      </w:r>
    </w:p>
    <w:p w:rsidRPr="003B6EF0" w:rsidR="00026C9C" w:rsidP="0026695D" w:rsidRDefault="004166E6" w14:paraId="7EE17E46" w14:textId="6AB6C5CA">
      <w:pPr>
        <w:spacing w:after="0"/>
        <w:rPr>
          <w:rFonts w:ascii="Arial" w:hAnsi="Arial" w:cs="Arial"/>
          <w:b/>
          <w:bCs/>
          <w:color w:val="4F81BD" w:themeColor="accent1"/>
          <w:lang w:val="en-GB"/>
        </w:rPr>
      </w:pPr>
      <w:r w:rsidRPr="003B6EF0">
        <w:rPr>
          <w:rFonts w:ascii="Arial" w:hAnsi="Arial" w:cs="Arial"/>
          <w:b/>
          <w:bCs/>
          <w:color w:val="4F81BD" w:themeColor="accent1"/>
          <w:lang w:val="en-GB"/>
        </w:rPr>
        <w:t>3</w:t>
      </w:r>
      <w:r w:rsidRPr="003B6EF0" w:rsidR="00AB23EB">
        <w:rPr>
          <w:rFonts w:ascii="Arial" w:hAnsi="Arial" w:cs="Arial"/>
          <w:b/>
          <w:bCs/>
          <w:color w:val="4F81BD" w:themeColor="accent1"/>
          <w:lang w:val="en-GB"/>
        </w:rPr>
        <w:t xml:space="preserve">.1 </w:t>
      </w:r>
      <w:r w:rsidRPr="003B6EF0" w:rsidR="00026C9C">
        <w:rPr>
          <w:rFonts w:ascii="Arial" w:hAnsi="Arial" w:cs="Arial"/>
          <w:b/>
          <w:bCs/>
          <w:color w:val="4F81BD" w:themeColor="accent1"/>
          <w:lang w:val="en-GB"/>
        </w:rPr>
        <w:t>Determining the Responsible Commissioner</w:t>
      </w:r>
    </w:p>
    <w:p w:rsidRPr="00026C9C" w:rsidR="00026C9C" w:rsidP="00026C9C" w:rsidRDefault="00026C9C" w14:paraId="0B8101D7" w14:textId="2861A167">
      <w:pPr>
        <w:rPr>
          <w:rFonts w:ascii="Arial" w:hAnsi="Arial" w:cs="Arial"/>
          <w:lang w:val="en-GB"/>
        </w:rPr>
      </w:pPr>
      <w:r w:rsidRPr="00026C9C">
        <w:rPr>
          <w:rFonts w:ascii="Arial" w:hAnsi="Arial" w:cs="Arial"/>
          <w:lang w:val="en-GB"/>
        </w:rPr>
        <w:t>In accordance with NHS England’s policy</w:t>
      </w:r>
      <w:r w:rsidR="00ED476C">
        <w:rPr>
          <w:rFonts w:ascii="Arial" w:hAnsi="Arial" w:cs="Arial"/>
          <w:lang w:val="en-GB"/>
        </w:rPr>
        <w:t xml:space="preserve">, Who Pays? (July 2025) </w:t>
      </w:r>
      <w:r w:rsidRPr="00026C9C">
        <w:rPr>
          <w:rFonts w:ascii="Arial" w:hAnsi="Arial" w:cs="Arial"/>
          <w:lang w:val="en-GB"/>
        </w:rPr>
        <w:t xml:space="preserve">the ICB is responsible for assessing needs and commissioning health services to meet all the reasonable requirements of its patients </w:t>
      </w:r>
      <w:proofErr w:type="gramStart"/>
      <w:r w:rsidRPr="00026C9C">
        <w:rPr>
          <w:rFonts w:ascii="Arial" w:hAnsi="Arial" w:cs="Arial"/>
          <w:lang w:val="en-GB"/>
        </w:rPr>
        <w:t>with the exception of</w:t>
      </w:r>
      <w:proofErr w:type="gramEnd"/>
      <w:r w:rsidRPr="00026C9C">
        <w:rPr>
          <w:rFonts w:ascii="Arial" w:hAnsi="Arial" w:cs="Arial"/>
          <w:lang w:val="en-GB"/>
        </w:rPr>
        <w:t xml:space="preserve">: </w:t>
      </w:r>
    </w:p>
    <w:p w:rsidR="000D7AAA" w:rsidP="00D87A65" w:rsidRDefault="00026C9C" w14:paraId="424152B0" w14:textId="12F38AD4">
      <w:pPr>
        <w:numPr>
          <w:ilvl w:val="0"/>
          <w:numId w:val="11"/>
        </w:numPr>
        <w:spacing w:after="0"/>
        <w:rPr>
          <w:rFonts w:ascii="Arial" w:hAnsi="Arial" w:cs="Arial"/>
          <w:lang w:val="en-GB"/>
        </w:rPr>
      </w:pPr>
      <w:r w:rsidRPr="000D7AAA">
        <w:rPr>
          <w:rFonts w:ascii="Arial" w:hAnsi="Arial" w:cs="Arial"/>
          <w:lang w:val="en-GB"/>
        </w:rPr>
        <w:t>Services commissioned directly by NHS England (</w:t>
      </w:r>
      <w:r w:rsidRPr="000D7AAA" w:rsidR="00446396">
        <w:rPr>
          <w:rFonts w:ascii="Arial" w:hAnsi="Arial" w:cs="Arial"/>
          <w:lang w:val="en-GB"/>
        </w:rPr>
        <w:t>e.g.</w:t>
      </w:r>
      <w:r w:rsidRPr="000D7AAA">
        <w:rPr>
          <w:rFonts w:ascii="Arial" w:hAnsi="Arial" w:cs="Arial"/>
          <w:lang w:val="en-GB"/>
        </w:rPr>
        <w:t xml:space="preserve"> high-secure psychiatric services, relevant prescribed specialised services and </w:t>
      </w:r>
      <w:proofErr w:type="gramStart"/>
      <w:r w:rsidRPr="000D7AAA">
        <w:rPr>
          <w:rFonts w:ascii="Arial" w:hAnsi="Arial" w:cs="Arial"/>
          <w:lang w:val="en-GB"/>
        </w:rPr>
        <w:t>the majority of</w:t>
      </w:r>
      <w:proofErr w:type="gramEnd"/>
      <w:r w:rsidRPr="000D7AAA">
        <w:rPr>
          <w:rFonts w:ascii="Arial" w:hAnsi="Arial" w:cs="Arial"/>
          <w:lang w:val="en-GB"/>
        </w:rPr>
        <w:t xml:space="preserve"> health services for prisoners/those detained in ‘other prescribed accommodation’, serving members of the armed forces and those family members who are registered with Defence Medical Services (DMS) GP practices in England etc.) </w:t>
      </w:r>
    </w:p>
    <w:p w:rsidRPr="000D7AAA" w:rsidR="00026C9C" w:rsidP="00D87A65" w:rsidRDefault="00026C9C" w14:paraId="666A58EB" w14:textId="3721B691">
      <w:pPr>
        <w:numPr>
          <w:ilvl w:val="0"/>
          <w:numId w:val="11"/>
        </w:numPr>
        <w:spacing w:after="0"/>
        <w:rPr>
          <w:rFonts w:ascii="Arial" w:hAnsi="Arial" w:cs="Arial"/>
          <w:lang w:val="en-GB"/>
        </w:rPr>
      </w:pPr>
      <w:r w:rsidRPr="000D7AAA">
        <w:rPr>
          <w:rFonts w:ascii="Arial" w:hAnsi="Arial" w:cs="Arial"/>
          <w:lang w:val="en-GB"/>
        </w:rPr>
        <w:t>Public Health services commissioned by Local Authorities or NHS England</w:t>
      </w:r>
      <w:r w:rsidR="00B674F5">
        <w:rPr>
          <w:rFonts w:ascii="Arial" w:hAnsi="Arial" w:cs="Arial"/>
          <w:lang w:val="en-GB"/>
        </w:rPr>
        <w:t>.</w:t>
      </w:r>
    </w:p>
    <w:p w:rsidRPr="00026C9C" w:rsidR="00026C9C" w:rsidP="00D87A65" w:rsidRDefault="00026C9C" w14:paraId="18E20F95" w14:textId="38C8FDB9">
      <w:pPr>
        <w:numPr>
          <w:ilvl w:val="0"/>
          <w:numId w:val="11"/>
        </w:numPr>
        <w:spacing w:after="0"/>
        <w:rPr>
          <w:rFonts w:ascii="Arial" w:hAnsi="Arial" w:cs="Arial"/>
          <w:lang w:val="en-GB"/>
        </w:rPr>
      </w:pPr>
      <w:r w:rsidRPr="00026C9C">
        <w:rPr>
          <w:rFonts w:ascii="Arial" w:hAnsi="Arial" w:cs="Arial"/>
          <w:lang w:val="en-GB"/>
        </w:rPr>
        <w:t>Services provided by UK Health Security Agency (health protection) and the Office for Health Improvement and Disparities (health promotion)</w:t>
      </w:r>
      <w:r w:rsidR="00B674F5">
        <w:rPr>
          <w:rFonts w:ascii="Arial" w:hAnsi="Arial" w:cs="Arial"/>
          <w:lang w:val="en-GB"/>
        </w:rPr>
        <w:t>.</w:t>
      </w:r>
      <w:r w:rsidRPr="00026C9C">
        <w:rPr>
          <w:rFonts w:ascii="Arial" w:hAnsi="Arial" w:cs="Arial"/>
          <w:lang w:val="en-GB"/>
        </w:rPr>
        <w:t xml:space="preserve"> </w:t>
      </w:r>
    </w:p>
    <w:p w:rsidR="00026C9C" w:rsidP="00026C9C" w:rsidRDefault="000D7AAA" w14:paraId="20966C47" w14:textId="2BF67130">
      <w:pPr>
        <w:rPr>
          <w:rFonts w:ascii="Arial" w:hAnsi="Arial" w:cs="Arial"/>
          <w:lang w:val="en-GB"/>
        </w:rPr>
      </w:pPr>
      <w:r>
        <w:br/>
      </w:r>
      <w:r w:rsidRPr="06612E74" w:rsidR="00026C9C">
        <w:rPr>
          <w:rFonts w:ascii="Arial" w:hAnsi="Arial" w:cs="Arial"/>
          <w:lang w:val="en-GB"/>
        </w:rPr>
        <w:t xml:space="preserve">NHS England has its own policies for handling requests for treatments and services on behalf of the above patients and these can be found at </w:t>
      </w:r>
      <w:hyperlink r:id="R35c76b32ddcf4d62">
        <w:r w:rsidRPr="06612E74" w:rsidR="00290799">
          <w:rPr>
            <w:rStyle w:val="Hyperlink"/>
            <w:rFonts w:ascii="Arial" w:hAnsi="Arial" w:cs="Arial"/>
          </w:rPr>
          <w:t>NHS commissioning » Key documents</w:t>
        </w:r>
      </w:hyperlink>
      <w:r>
        <w:br/>
      </w:r>
      <w:r w:rsidRPr="06612E74" w:rsidR="00026C9C">
        <w:rPr>
          <w:rFonts w:ascii="Arial" w:hAnsi="Arial" w:cs="Arial"/>
          <w:lang w:val="en-GB"/>
        </w:rPr>
        <w:t xml:space="preserve">Where </w:t>
      </w:r>
      <w:r w:rsidRPr="06612E74" w:rsidR="00AB23EB">
        <w:rPr>
          <w:rFonts w:ascii="Arial" w:hAnsi="Arial" w:cs="Arial"/>
          <w:lang w:val="en-GB"/>
        </w:rPr>
        <w:t>Central East ICB</w:t>
      </w:r>
      <w:r w:rsidRPr="06612E74" w:rsidR="00026C9C">
        <w:rPr>
          <w:rFonts w:ascii="Arial" w:hAnsi="Arial" w:cs="Arial"/>
          <w:lang w:val="en-GB"/>
        </w:rPr>
        <w:t xml:space="preserve"> IFR Service identifies that the patient is the responsibility of another Integrated Care Board, the requesting clinician will be notified</w:t>
      </w:r>
      <w:r w:rsidRPr="06612E74" w:rsidR="00AB23EB">
        <w:rPr>
          <w:rFonts w:ascii="Arial" w:hAnsi="Arial" w:cs="Arial"/>
          <w:lang w:val="en-GB"/>
        </w:rPr>
        <w:t xml:space="preserve">. </w:t>
      </w:r>
    </w:p>
    <w:p w:rsidR="06612E74" w:rsidP="06612E74" w:rsidRDefault="06612E74" w14:paraId="4FB99568" w14:textId="5D33C410">
      <w:pPr>
        <w:spacing w:after="0"/>
        <w:rPr>
          <w:rFonts w:ascii="Arial" w:hAnsi="Arial" w:cs="Arial"/>
          <w:b w:val="1"/>
          <w:bCs w:val="1"/>
          <w:color w:val="4F81BD" w:themeColor="accent1" w:themeTint="FF" w:themeShade="FF"/>
          <w:lang w:val="en-GB"/>
        </w:rPr>
      </w:pPr>
    </w:p>
    <w:p w:rsidRPr="000F4A20" w:rsidR="000D7AAA" w:rsidP="0026695D" w:rsidRDefault="004166E6" w14:paraId="1CCE5B03" w14:textId="24516C23">
      <w:pPr>
        <w:spacing w:after="0"/>
        <w:rPr>
          <w:rFonts w:ascii="Arial" w:hAnsi="Arial" w:cs="Arial"/>
          <w:b/>
          <w:color w:val="4F81BD" w:themeColor="accent1"/>
          <w:lang w:val="en-GB"/>
        </w:rPr>
      </w:pPr>
      <w:r>
        <w:rPr>
          <w:rFonts w:ascii="Arial" w:hAnsi="Arial" w:cs="Arial"/>
          <w:b/>
          <w:color w:val="4F81BD" w:themeColor="accent1"/>
          <w:lang w:val="en-GB"/>
        </w:rPr>
        <w:t>3</w:t>
      </w:r>
      <w:r w:rsidR="00AB23EB">
        <w:rPr>
          <w:rFonts w:ascii="Arial" w:hAnsi="Arial" w:cs="Arial"/>
          <w:b/>
          <w:color w:val="4F81BD" w:themeColor="accent1"/>
          <w:lang w:val="en-GB"/>
        </w:rPr>
        <w:t xml:space="preserve">.2 </w:t>
      </w:r>
      <w:r w:rsidRPr="000F4A20" w:rsidR="000D7AAA">
        <w:rPr>
          <w:rFonts w:ascii="Arial" w:hAnsi="Arial" w:cs="Arial"/>
          <w:b/>
          <w:color w:val="4F81BD" w:themeColor="accent1"/>
          <w:lang w:val="en-GB"/>
        </w:rPr>
        <w:t xml:space="preserve">Requests for </w:t>
      </w:r>
      <w:r w:rsidRPr="000F4A20" w:rsidR="002708AE">
        <w:rPr>
          <w:rFonts w:ascii="Arial" w:hAnsi="Arial" w:cs="Arial"/>
          <w:b/>
          <w:color w:val="4F81BD" w:themeColor="accent1"/>
          <w:lang w:val="en-GB"/>
        </w:rPr>
        <w:t>treatment</w:t>
      </w:r>
      <w:r w:rsidRPr="000F4A20" w:rsidR="000D7AAA">
        <w:rPr>
          <w:rFonts w:ascii="Arial" w:hAnsi="Arial" w:cs="Arial"/>
          <w:b/>
          <w:color w:val="4F81BD" w:themeColor="accent1"/>
          <w:lang w:val="en-GB"/>
        </w:rPr>
        <w:t xml:space="preserve"> </w:t>
      </w:r>
      <w:r w:rsidRPr="000F4A20" w:rsidR="008A7BB5">
        <w:rPr>
          <w:rFonts w:ascii="Arial" w:hAnsi="Arial" w:cs="Arial"/>
          <w:b/>
          <w:color w:val="4F81BD" w:themeColor="accent1"/>
          <w:lang w:val="en-GB"/>
        </w:rPr>
        <w:t xml:space="preserve">abroad </w:t>
      </w:r>
    </w:p>
    <w:p w:rsidR="00923A5E" w:rsidP="000D7AAA" w:rsidRDefault="000D7AAA" w14:paraId="3F30B9C6" w14:textId="11B90BC8">
      <w:pPr>
        <w:rPr>
          <w:rFonts w:ascii="Arial" w:hAnsi="Arial" w:cs="Arial"/>
          <w:lang w:val="en-GB"/>
        </w:rPr>
      </w:pPr>
      <w:r w:rsidRPr="000D7AAA">
        <w:rPr>
          <w:rFonts w:ascii="Arial" w:hAnsi="Arial" w:cs="Arial"/>
          <w:lang w:val="en-GB"/>
        </w:rPr>
        <w:t xml:space="preserve">NHS England (NHSE) is responsible for receiving, processing and making determinations for overseas treatment in line with </w:t>
      </w:r>
      <w:r w:rsidR="008A7BB5">
        <w:rPr>
          <w:rFonts w:ascii="Arial" w:hAnsi="Arial" w:cs="Arial"/>
          <w:lang w:val="en-GB"/>
        </w:rPr>
        <w:t>local</w:t>
      </w:r>
      <w:r w:rsidRPr="000D7AAA">
        <w:rPr>
          <w:rFonts w:ascii="Arial" w:hAnsi="Arial" w:cs="Arial"/>
          <w:lang w:val="en-GB"/>
        </w:rPr>
        <w:t xml:space="preserve"> ICB </w:t>
      </w:r>
      <w:r w:rsidR="003B6EF0">
        <w:rPr>
          <w:rFonts w:ascii="Arial" w:hAnsi="Arial" w:cs="Arial"/>
          <w:lang w:val="en-GB"/>
        </w:rPr>
        <w:t xml:space="preserve">clinical </w:t>
      </w:r>
      <w:r w:rsidRPr="000D7AAA">
        <w:rPr>
          <w:rFonts w:ascii="Arial" w:hAnsi="Arial" w:cs="Arial"/>
          <w:lang w:val="en-GB"/>
        </w:rPr>
        <w:t xml:space="preserve">policies. </w:t>
      </w:r>
      <w:r w:rsidR="008A7BB5">
        <w:rPr>
          <w:rFonts w:ascii="Arial" w:hAnsi="Arial" w:cs="Arial"/>
          <w:lang w:val="en-GB"/>
        </w:rPr>
        <w:t xml:space="preserve">More information can be found at </w:t>
      </w:r>
      <w:hyperlink w:history="1" r:id="rId12">
        <w:r w:rsidRPr="008A7BB5" w:rsidR="008A7BB5">
          <w:rPr>
            <w:rStyle w:val="Hyperlink"/>
            <w:rFonts w:ascii="Arial" w:hAnsi="Arial" w:cs="Arial"/>
          </w:rPr>
          <w:t>Going abroad for medical treatment - NHS</w:t>
        </w:r>
      </w:hyperlink>
      <w:r w:rsidR="008A7BB5">
        <w:rPr>
          <w:rFonts w:ascii="Arial" w:hAnsi="Arial" w:cs="Arial"/>
          <w:lang w:val="en-GB"/>
        </w:rPr>
        <w:t xml:space="preserve">. </w:t>
      </w:r>
    </w:p>
    <w:p w:rsidR="00756A53" w:rsidP="00D87A65" w:rsidRDefault="0070243F" w14:paraId="79E2EFA2" w14:textId="549423BC">
      <w:pPr>
        <w:pStyle w:val="Heading2"/>
        <w:numPr>
          <w:ilvl w:val="0"/>
          <w:numId w:val="8"/>
        </w:numPr>
        <w:rPr>
          <w:rFonts w:ascii="Arial" w:hAnsi="Arial" w:cs="Arial"/>
          <w:sz w:val="22"/>
          <w:szCs w:val="22"/>
        </w:rPr>
      </w:pPr>
      <w:r>
        <w:rPr>
          <w:rFonts w:ascii="Arial" w:hAnsi="Arial" w:cs="Arial"/>
          <w:sz w:val="22"/>
          <w:szCs w:val="22"/>
        </w:rPr>
        <w:t>Content</w:t>
      </w:r>
    </w:p>
    <w:p w:rsidRPr="00E26DC4" w:rsidR="00E26DC4" w:rsidP="00E26DC4" w:rsidRDefault="004166E6" w14:paraId="2D923F7C" w14:textId="24219D7E">
      <w:pPr>
        <w:rPr>
          <w:rFonts w:ascii="Arial" w:hAnsi="Arial" w:cs="Arial"/>
          <w:b/>
          <w:bCs/>
          <w:color w:val="4F81BD" w:themeColor="accent1"/>
        </w:rPr>
      </w:pPr>
      <w:r>
        <w:rPr>
          <w:rFonts w:ascii="Arial" w:hAnsi="Arial" w:cs="Arial"/>
          <w:b/>
          <w:bCs/>
          <w:color w:val="4F81BD" w:themeColor="accent1"/>
        </w:rPr>
        <w:t>4</w:t>
      </w:r>
      <w:r w:rsidRPr="00E26DC4" w:rsidR="00E26DC4">
        <w:rPr>
          <w:rFonts w:ascii="Arial" w:hAnsi="Arial" w:cs="Arial"/>
          <w:b/>
          <w:bCs/>
          <w:color w:val="4F81BD" w:themeColor="accent1"/>
        </w:rPr>
        <w:t xml:space="preserve">.1 IFR and Exceptional Cases </w:t>
      </w:r>
      <w:r w:rsidR="00446396">
        <w:rPr>
          <w:rFonts w:ascii="Arial" w:hAnsi="Arial" w:cs="Arial"/>
          <w:b/>
          <w:bCs/>
          <w:color w:val="4F81BD" w:themeColor="accent1"/>
        </w:rPr>
        <w:t>C</w:t>
      </w:r>
      <w:r w:rsidRPr="00E26DC4" w:rsidR="00E26DC4">
        <w:rPr>
          <w:rFonts w:ascii="Arial" w:hAnsi="Arial" w:cs="Arial"/>
          <w:b/>
          <w:bCs/>
          <w:color w:val="4F81BD" w:themeColor="accent1"/>
        </w:rPr>
        <w:t xml:space="preserve">riteria </w:t>
      </w:r>
    </w:p>
    <w:p w:rsidRPr="0062464A" w:rsidR="00E26DC4" w:rsidP="00E26DC4" w:rsidRDefault="00E26DC4" w14:paraId="5D9DC328" w14:textId="340F8FD9">
      <w:pPr>
        <w:rPr>
          <w:rFonts w:ascii="Arial" w:hAnsi="Arial" w:cs="Arial"/>
        </w:rPr>
      </w:pPr>
      <w:r w:rsidRPr="6F87A5EE">
        <w:rPr>
          <w:rFonts w:ascii="Arial" w:hAnsi="Arial" w:cs="Arial"/>
        </w:rPr>
        <w:t xml:space="preserve">The ICB will only </w:t>
      </w:r>
      <w:r w:rsidR="00092BA4">
        <w:rPr>
          <w:rFonts w:ascii="Arial" w:hAnsi="Arial" w:cs="Arial"/>
        </w:rPr>
        <w:t>consider</w:t>
      </w:r>
      <w:r w:rsidRPr="6F87A5EE">
        <w:rPr>
          <w:rFonts w:ascii="Arial" w:hAnsi="Arial" w:cs="Arial"/>
        </w:rPr>
        <w:t xml:space="preserve"> funding in response to an IFR, if the IFR panel is satisfied that the case meets the following criteria:</w:t>
      </w:r>
    </w:p>
    <w:p w:rsidRPr="00BF6281" w:rsidR="00E26DC4" w:rsidP="00E26DC4" w:rsidRDefault="00E26DC4" w14:paraId="0854CE52" w14:textId="77777777">
      <w:pPr>
        <w:rPr>
          <w:rFonts w:ascii="Arial" w:hAnsi="Arial" w:cs="Arial"/>
          <w:b/>
          <w:bCs/>
        </w:rPr>
      </w:pPr>
      <w:r w:rsidRPr="00BF6281">
        <w:rPr>
          <w:rFonts w:ascii="Arial" w:hAnsi="Arial" w:cs="Arial"/>
          <w:b/>
          <w:bCs/>
        </w:rPr>
        <w:t xml:space="preserve">There is evidence that the patient presents with exceptional clinical circumstances, that is either: </w:t>
      </w:r>
    </w:p>
    <w:p w:rsidRPr="007563E8" w:rsidR="00E26DC4" w:rsidP="00E26DC4" w:rsidRDefault="00E26DC4" w14:paraId="387BCBC6" w14:textId="2E1C1DDF">
      <w:pPr>
        <w:pStyle w:val="ListParagraph"/>
        <w:ind w:left="360"/>
        <w:jc w:val="both"/>
        <w:rPr>
          <w:rFonts w:ascii="Arial" w:hAnsi="Arial" w:cs="Arial"/>
        </w:rPr>
      </w:pPr>
      <w:r w:rsidRPr="007563E8">
        <w:rPr>
          <w:rFonts w:ascii="Arial" w:hAnsi="Arial" w:cs="Arial"/>
          <w:b/>
          <w:bCs/>
        </w:rPr>
        <w:t>An exceptional case</w:t>
      </w:r>
      <w:r w:rsidRPr="007563E8">
        <w:rPr>
          <w:rFonts w:ascii="Arial" w:hAnsi="Arial" w:cs="Arial"/>
        </w:rPr>
        <w:t xml:space="preserve"> - Where the ICB is responsible for commissioning the service/treatment, there is a </w:t>
      </w:r>
      <w:r w:rsidR="00743BD2">
        <w:rPr>
          <w:rFonts w:ascii="Arial" w:hAnsi="Arial" w:cs="Arial"/>
        </w:rPr>
        <w:t>Central East ICB Clinical</w:t>
      </w:r>
      <w:r w:rsidRPr="007563E8">
        <w:rPr>
          <w:rFonts w:ascii="Arial" w:hAnsi="Arial" w:cs="Arial"/>
        </w:rPr>
        <w:t xml:space="preserve"> policy or APC guideline, pathway or recommendation, NICE Technology Appraisal (TA) guidance or Highly Specialised Technology (HST) Appraisal guidance</w:t>
      </w:r>
      <w:r w:rsidR="001428CE">
        <w:rPr>
          <w:rFonts w:ascii="Arial" w:hAnsi="Arial" w:cs="Arial"/>
        </w:rPr>
        <w:t xml:space="preserve"> or ICB position</w:t>
      </w:r>
      <w:r w:rsidRPr="007563E8">
        <w:rPr>
          <w:rFonts w:ascii="Arial" w:hAnsi="Arial" w:cs="Arial"/>
        </w:rPr>
        <w:t xml:space="preserve"> that governs whether to fund or not fund the treatment for the patient's condition, but the patient does not meet the criteria </w:t>
      </w:r>
      <w:r w:rsidRPr="00743BD2">
        <w:rPr>
          <w:rFonts w:ascii="Arial" w:hAnsi="Arial" w:cs="Arial"/>
          <w:b/>
          <w:bCs/>
        </w:rPr>
        <w:t>AND</w:t>
      </w:r>
      <w:r w:rsidRPr="007563E8">
        <w:rPr>
          <w:rFonts w:ascii="Arial" w:hAnsi="Arial" w:cs="Arial"/>
        </w:rPr>
        <w:t xml:space="preserve"> a clinician can demonstrate that their patient is in a different clinical condition when compared to the typical patient population with the same condition and (if relevant) at the same stage of progression, </w:t>
      </w:r>
      <w:r w:rsidRPr="00743BD2">
        <w:rPr>
          <w:rFonts w:ascii="Arial" w:hAnsi="Arial" w:cs="Arial"/>
          <w:b/>
          <w:bCs/>
        </w:rPr>
        <w:t>AND</w:t>
      </w:r>
      <w:r w:rsidRPr="007563E8">
        <w:rPr>
          <w:rFonts w:ascii="Arial" w:hAnsi="Arial" w:cs="Arial"/>
        </w:rPr>
        <w:t xml:space="preserve"> because of that difference, their patient is likely to receive material additional clinical benefit from treatment that would not be plausible for any typical patient.</w:t>
      </w:r>
    </w:p>
    <w:p w:rsidRPr="007563E8" w:rsidR="00E26DC4" w:rsidP="00E26DC4" w:rsidRDefault="00E26DC4" w14:paraId="00453650" w14:textId="77777777">
      <w:pPr>
        <w:rPr>
          <w:rFonts w:ascii="Arial" w:hAnsi="Arial" w:cs="Arial"/>
          <w:b/>
          <w:bCs/>
        </w:rPr>
      </w:pPr>
      <w:r w:rsidRPr="007563E8">
        <w:rPr>
          <w:rFonts w:ascii="Arial" w:hAnsi="Arial" w:cs="Arial"/>
          <w:b/>
          <w:bCs/>
        </w:rPr>
        <w:t xml:space="preserve">Or </w:t>
      </w:r>
    </w:p>
    <w:p w:rsidRPr="0070243F" w:rsidR="00E26DC4" w:rsidP="00E26DC4" w:rsidRDefault="00E26DC4" w14:paraId="7A414432" w14:textId="0AED6247">
      <w:pPr>
        <w:pStyle w:val="ListParagraph"/>
        <w:ind w:left="360"/>
        <w:rPr>
          <w:rFonts w:ascii="Arial" w:hAnsi="Arial" w:cs="Arial"/>
        </w:rPr>
      </w:pPr>
      <w:r w:rsidRPr="007563E8">
        <w:rPr>
          <w:rFonts w:ascii="Arial" w:hAnsi="Arial" w:cs="Arial"/>
          <w:b/>
          <w:bCs/>
        </w:rPr>
        <w:t>An individual case</w:t>
      </w:r>
      <w:r w:rsidRPr="007563E8">
        <w:rPr>
          <w:rFonts w:ascii="Arial" w:hAnsi="Arial" w:cs="Arial"/>
        </w:rPr>
        <w:t xml:space="preserve"> – Where there is no relevant locally commissioned service, </w:t>
      </w:r>
      <w:r w:rsidR="00743BD2">
        <w:rPr>
          <w:rFonts w:ascii="Arial" w:hAnsi="Arial" w:cs="Arial"/>
        </w:rPr>
        <w:t>Central East ICB</w:t>
      </w:r>
      <w:r w:rsidR="003D5F9D">
        <w:rPr>
          <w:rFonts w:ascii="Arial" w:hAnsi="Arial" w:cs="Arial"/>
        </w:rPr>
        <w:t xml:space="preserve"> position,</w:t>
      </w:r>
      <w:r w:rsidR="00743BD2">
        <w:rPr>
          <w:rFonts w:ascii="Arial" w:hAnsi="Arial" w:cs="Arial"/>
        </w:rPr>
        <w:t xml:space="preserve"> clinical </w:t>
      </w:r>
      <w:r w:rsidRPr="007563E8">
        <w:rPr>
          <w:rFonts w:ascii="Arial" w:hAnsi="Arial" w:cs="Arial"/>
        </w:rPr>
        <w:t>policy</w:t>
      </w:r>
      <w:r w:rsidR="00743BD2">
        <w:rPr>
          <w:rFonts w:ascii="Arial" w:hAnsi="Arial" w:cs="Arial"/>
        </w:rPr>
        <w:t xml:space="preserve"> or </w:t>
      </w:r>
      <w:r w:rsidRPr="007563E8">
        <w:rPr>
          <w:rFonts w:ascii="Arial" w:hAnsi="Arial" w:cs="Arial"/>
        </w:rPr>
        <w:t xml:space="preserve">APC guideline, pathway or recommendation, NICE Technology Appraisal (TA) guidance or Highly Specialised Technology (HST) Appraisal guidance and/or other relevant mandatory/statutory guidance in place for the management of the patient's condition or combination of conditions, </w:t>
      </w:r>
      <w:r w:rsidRPr="007A5D31">
        <w:rPr>
          <w:rFonts w:ascii="Arial" w:hAnsi="Arial" w:cs="Arial"/>
          <w:b/>
          <w:bCs/>
        </w:rPr>
        <w:t>AND</w:t>
      </w:r>
      <w:r w:rsidRPr="007563E8">
        <w:rPr>
          <w:rFonts w:ascii="Arial" w:hAnsi="Arial" w:cs="Arial"/>
        </w:rPr>
        <w:t xml:space="preserve"> the patient’s clinical presentation is so unusual that they could not be considered to be part of a defined group of patients in the same or similar clinical circumstances for whom a service development could be undertaken. </w:t>
      </w:r>
    </w:p>
    <w:p w:rsidRPr="00EF4142" w:rsidR="00E26DC4" w:rsidP="004166E6" w:rsidRDefault="00E26DC4" w14:paraId="1D344406" w14:textId="2D1FD929">
      <w:pPr>
        <w:rPr>
          <w:rFonts w:ascii="Arial" w:hAnsi="Arial" w:cs="Arial"/>
        </w:rPr>
      </w:pPr>
      <w:r w:rsidRPr="0070243F">
        <w:rPr>
          <w:rFonts w:ascii="Arial" w:hAnsi="Arial" w:cs="Arial"/>
          <w:b/>
          <w:bCs/>
        </w:rPr>
        <w:t>AND in both cases,</w:t>
      </w:r>
      <w:r w:rsidRPr="0070243F">
        <w:rPr>
          <w:rFonts w:ascii="Arial" w:hAnsi="Arial" w:cs="Arial"/>
        </w:rPr>
        <w:t xml:space="preserve"> there is a basis for considering that the requested intervention is likely to be clinically effective </w:t>
      </w:r>
      <w:r w:rsidRPr="00EF4142">
        <w:rPr>
          <w:rFonts w:ascii="Arial" w:hAnsi="Arial" w:cs="Arial"/>
        </w:rPr>
        <w:t xml:space="preserve">for the patient </w:t>
      </w:r>
      <w:r w:rsidRPr="00EF4142" w:rsidR="00EF4142">
        <w:rPr>
          <w:rFonts w:ascii="Arial" w:hAnsi="Arial" w:cs="Arial"/>
        </w:rPr>
        <w:t xml:space="preserve">(see section 4.3) </w:t>
      </w:r>
      <w:r w:rsidRPr="00EF4142">
        <w:rPr>
          <w:rFonts w:ascii="Arial" w:hAnsi="Arial" w:cs="Arial"/>
          <w:b/>
          <w:bCs/>
        </w:rPr>
        <w:t xml:space="preserve">AND </w:t>
      </w:r>
      <w:proofErr w:type="gramStart"/>
      <w:r w:rsidRPr="00EF4142">
        <w:rPr>
          <w:rFonts w:ascii="Arial" w:hAnsi="Arial" w:cs="Arial"/>
        </w:rPr>
        <w:t>a good use</w:t>
      </w:r>
      <w:proofErr w:type="gramEnd"/>
      <w:r w:rsidRPr="00EF4142">
        <w:rPr>
          <w:rFonts w:ascii="Arial" w:hAnsi="Arial" w:cs="Arial"/>
        </w:rPr>
        <w:t xml:space="preserve"> of NHS resources (see section </w:t>
      </w:r>
      <w:r w:rsidRPr="00EF4142" w:rsidR="00EF4142">
        <w:rPr>
          <w:rFonts w:ascii="Arial" w:hAnsi="Arial" w:cs="Arial"/>
        </w:rPr>
        <w:t>4.5)</w:t>
      </w:r>
      <w:r w:rsidRPr="00EF4142">
        <w:rPr>
          <w:rFonts w:ascii="Arial" w:hAnsi="Arial" w:cs="Arial"/>
        </w:rPr>
        <w:t>.</w:t>
      </w:r>
    </w:p>
    <w:p w:rsidRPr="00743BD2" w:rsidR="008C69CF" w:rsidP="0026695D" w:rsidRDefault="004166E6" w14:paraId="6664FD97" w14:textId="383AAE37">
      <w:pPr>
        <w:spacing w:after="0"/>
        <w:rPr>
          <w:rFonts w:ascii="Arial" w:hAnsi="Arial" w:cs="Arial"/>
          <w:b/>
          <w:bCs/>
          <w:color w:val="4F81BD" w:themeColor="accent1"/>
        </w:rPr>
      </w:pPr>
      <w:r>
        <w:rPr>
          <w:rFonts w:ascii="Arial" w:hAnsi="Arial" w:cs="Arial"/>
          <w:b/>
          <w:bCs/>
          <w:color w:val="4F81BD" w:themeColor="accent1"/>
        </w:rPr>
        <w:t>4</w:t>
      </w:r>
      <w:r w:rsidRPr="00743BD2" w:rsidR="00E26DC4">
        <w:rPr>
          <w:rFonts w:ascii="Arial" w:hAnsi="Arial" w:cs="Arial"/>
          <w:b/>
          <w:bCs/>
          <w:color w:val="4F81BD" w:themeColor="accent1"/>
        </w:rPr>
        <w:t xml:space="preserve">.2 </w:t>
      </w:r>
      <w:r w:rsidRPr="00743BD2" w:rsidR="0070243F">
        <w:rPr>
          <w:rFonts w:ascii="Arial" w:hAnsi="Arial" w:cs="Arial"/>
          <w:b/>
          <w:bCs/>
          <w:color w:val="4F81BD" w:themeColor="accent1"/>
        </w:rPr>
        <w:t xml:space="preserve">Clinical </w:t>
      </w:r>
      <w:r w:rsidRPr="00743BD2" w:rsidR="008C69CF">
        <w:rPr>
          <w:rFonts w:ascii="Arial" w:hAnsi="Arial" w:cs="Arial"/>
          <w:b/>
          <w:bCs/>
          <w:color w:val="4F81BD" w:themeColor="accent1"/>
        </w:rPr>
        <w:t>Exceptionality in Detail</w:t>
      </w:r>
    </w:p>
    <w:p w:rsidRPr="0062464A" w:rsidR="0070243F" w:rsidP="0070243F" w:rsidRDefault="0070243F" w14:paraId="2B254833" w14:textId="77777777">
      <w:pPr>
        <w:rPr>
          <w:rFonts w:ascii="Arial" w:hAnsi="Arial" w:cs="Arial"/>
        </w:rPr>
      </w:pPr>
      <w:r w:rsidRPr="0062464A">
        <w:rPr>
          <w:rFonts w:ascii="Arial" w:hAnsi="Arial" w:cs="Arial"/>
        </w:rPr>
        <w:t xml:space="preserve">There can be no exhaustive description of the situations which are likely to come within the definition of exceptional clinical circumstances. The onus is on the clinician making the request to set out the grounds for clinical exceptionality clearly for the IFR Panel. ‘Exceptional’ in IFR terms means a person to whom the general rule* should not apply. This implies that there is likely to be something about their clinical situation which </w:t>
      </w:r>
      <w:proofErr w:type="gramStart"/>
      <w:r w:rsidRPr="0062464A">
        <w:rPr>
          <w:rFonts w:ascii="Arial" w:hAnsi="Arial" w:cs="Arial"/>
        </w:rPr>
        <w:t>was not considered</w:t>
      </w:r>
      <w:proofErr w:type="gramEnd"/>
      <w:r w:rsidRPr="0062464A">
        <w:rPr>
          <w:rFonts w:ascii="Arial" w:hAnsi="Arial" w:cs="Arial"/>
        </w:rPr>
        <w:t xml:space="preserve"> when formulating the general rule.</w:t>
      </w:r>
    </w:p>
    <w:p w:rsidRPr="0070243F" w:rsidR="0070243F" w:rsidP="0070243F" w:rsidRDefault="0070243F" w14:paraId="504FA1DF" w14:textId="77777777">
      <w:pPr>
        <w:rPr>
          <w:rFonts w:ascii="Arial" w:hAnsi="Arial" w:cs="Arial"/>
          <w:i/>
          <w:iCs/>
        </w:rPr>
      </w:pPr>
      <w:r w:rsidRPr="0070243F">
        <w:rPr>
          <w:rFonts w:ascii="Arial" w:hAnsi="Arial" w:cs="Arial"/>
          <w:i/>
          <w:iCs/>
        </w:rPr>
        <w:t>(*In this context the ‘general rule’ might be a policy that describes those patients who can access the intervention, or it may be that where there is no policy governing the treatment in this condition, in the interests of fairness to all patients, the position is that it will not be commissioned ahead of policy development.)</w:t>
      </w:r>
    </w:p>
    <w:p w:rsidRPr="0062464A" w:rsidR="0070243F" w:rsidP="0070243F" w:rsidRDefault="0070243F" w14:paraId="4FD2C13D" w14:textId="657F86D3">
      <w:pPr>
        <w:rPr>
          <w:rFonts w:ascii="Arial" w:hAnsi="Arial" w:cs="Arial"/>
        </w:rPr>
      </w:pPr>
      <w:r w:rsidRPr="0062464A">
        <w:rPr>
          <w:rFonts w:ascii="Arial" w:hAnsi="Arial" w:cs="Arial"/>
        </w:rPr>
        <w:t xml:space="preserve">Very few patients have clinical circumstances which are genuinely exceptional. To justify approval for treatment for a patient which is not available to other patients, and is not part of the established care pathway, the IFR </w:t>
      </w:r>
      <w:r w:rsidR="008E1316">
        <w:rPr>
          <w:rFonts w:ascii="Arial" w:hAnsi="Arial" w:cs="Arial"/>
        </w:rPr>
        <w:t>panel</w:t>
      </w:r>
      <w:r w:rsidRPr="0062464A">
        <w:rPr>
          <w:rFonts w:ascii="Arial" w:hAnsi="Arial" w:cs="Arial"/>
        </w:rPr>
        <w:t xml:space="preserve"> needs to be satisfied that the clinician has demonstrated that this patient’s individual clinical circumstances are clearly different to those of other patients, and that because of this difference, the general policies should not be applied. Simply put, the consideration is whether it is fair to approve this patient’s treatment when the treatment is not available to others. </w:t>
      </w:r>
      <w:r>
        <w:rPr>
          <w:rFonts w:ascii="Arial" w:hAnsi="Arial" w:cs="Arial"/>
        </w:rPr>
        <w:br/>
      </w:r>
      <w:r w:rsidRPr="0062464A">
        <w:rPr>
          <w:rFonts w:ascii="Arial" w:hAnsi="Arial" w:cs="Arial"/>
        </w:rPr>
        <w:t xml:space="preserve">It should be stressed that an IFR is not a route to "have another look" at the general rule, or to protest that the general rule is ungenerous. </w:t>
      </w:r>
    </w:p>
    <w:p w:rsidRPr="0062464A" w:rsidR="0070243F" w:rsidP="0070243F" w:rsidRDefault="0070243F" w14:paraId="634C1F45" w14:textId="3F0E48AF">
      <w:pPr>
        <w:rPr>
          <w:rFonts w:ascii="Arial" w:hAnsi="Arial" w:cs="Arial"/>
        </w:rPr>
      </w:pPr>
      <w:r w:rsidRPr="0062464A">
        <w:rPr>
          <w:rFonts w:ascii="Arial" w:hAnsi="Arial" w:cs="Arial"/>
        </w:rPr>
        <w:t xml:space="preserve">Where a ‘not for routine commissioning’ clinical commissioning policy/recommendation is in place in relation to a treatment, </w:t>
      </w:r>
      <w:r>
        <w:rPr>
          <w:rFonts w:ascii="Arial" w:hAnsi="Arial" w:cs="Arial"/>
        </w:rPr>
        <w:t>C</w:t>
      </w:r>
      <w:r w:rsidR="0001036D">
        <w:rPr>
          <w:rFonts w:ascii="Arial" w:hAnsi="Arial" w:cs="Arial"/>
        </w:rPr>
        <w:t>entral East</w:t>
      </w:r>
      <w:r w:rsidRPr="0062464A">
        <w:rPr>
          <w:rFonts w:ascii="Arial" w:hAnsi="Arial" w:cs="Arial"/>
        </w:rPr>
        <w:t xml:space="preserve"> ICB will have been aware when making that policy/recommendation that in most studies, some patients will respond better than others to the treatment and indeed, a small group may respond significantly better than the average. This should have been </w:t>
      </w:r>
      <w:proofErr w:type="gramStart"/>
      <w:r w:rsidRPr="0062464A">
        <w:rPr>
          <w:rFonts w:ascii="Arial" w:hAnsi="Arial" w:cs="Arial"/>
        </w:rPr>
        <w:t>taken into account</w:t>
      </w:r>
      <w:proofErr w:type="gramEnd"/>
      <w:r w:rsidRPr="0062464A">
        <w:rPr>
          <w:rFonts w:ascii="Arial" w:hAnsi="Arial" w:cs="Arial"/>
        </w:rPr>
        <w:t xml:space="preserve"> in developing the policy. </w:t>
      </w:r>
    </w:p>
    <w:p w:rsidRPr="0062464A" w:rsidR="0070243F" w:rsidP="0070243F" w:rsidRDefault="0070243F" w14:paraId="2F3253A5" w14:textId="3535EEEB">
      <w:pPr>
        <w:rPr>
          <w:rFonts w:ascii="Arial" w:hAnsi="Arial" w:cs="Arial"/>
        </w:rPr>
      </w:pPr>
      <w:r w:rsidRPr="0062464A">
        <w:rPr>
          <w:rFonts w:ascii="Arial" w:hAnsi="Arial" w:cs="Arial"/>
        </w:rPr>
        <w:t xml:space="preserve">Consequently, in considering whether a request for an exception should be made, the clinician should consider whether this individual patient is likely to respond to the treatment in a way that exceeds the response of other patients in the group to which the general policy applies, and whether there is evidence to support this view. </w:t>
      </w:r>
    </w:p>
    <w:p w:rsidRPr="0062464A" w:rsidR="0070243F" w:rsidP="0070243F" w:rsidRDefault="0070243F" w14:paraId="38BF9E4F" w14:textId="457C0FA6">
      <w:pPr>
        <w:rPr>
          <w:rFonts w:ascii="Arial" w:hAnsi="Arial" w:cs="Arial"/>
        </w:rPr>
      </w:pPr>
      <w:r w:rsidRPr="0062464A">
        <w:rPr>
          <w:rFonts w:ascii="Arial" w:hAnsi="Arial" w:cs="Arial"/>
        </w:rPr>
        <w:t xml:space="preserve">Arguments for clinical exceptionality on the grounds of failure to respond to standard care, severity of condition, genotypes, multiple clinical grounds or non-clinical or social factors </w:t>
      </w:r>
      <w:proofErr w:type="gramStart"/>
      <w:r w:rsidRPr="0062464A">
        <w:rPr>
          <w:rFonts w:ascii="Arial" w:hAnsi="Arial" w:cs="Arial"/>
        </w:rPr>
        <w:t xml:space="preserve">are </w:t>
      </w:r>
      <w:r w:rsidR="00661286">
        <w:rPr>
          <w:rFonts w:ascii="Arial" w:hAnsi="Arial" w:cs="Arial"/>
        </w:rPr>
        <w:t>considered</w:t>
      </w:r>
      <w:proofErr w:type="gramEnd"/>
      <w:r w:rsidRPr="0062464A">
        <w:rPr>
          <w:rFonts w:ascii="Arial" w:hAnsi="Arial" w:cs="Arial"/>
        </w:rPr>
        <w:t xml:space="preserve"> using the NHS England IFR policy (2023) as follows.</w:t>
      </w:r>
    </w:p>
    <w:p w:rsidRPr="0070243F" w:rsidR="0070243F" w:rsidP="0070243F" w:rsidRDefault="001C64BC" w14:paraId="03F6AD75" w14:textId="12E783AD">
      <w:pPr>
        <w:rPr>
          <w:rFonts w:ascii="Arial" w:hAnsi="Arial" w:cs="Arial"/>
          <w:b/>
          <w:bCs/>
          <w:color w:val="4F81BD" w:themeColor="accent1"/>
        </w:rPr>
      </w:pPr>
      <w:r>
        <w:rPr>
          <w:rFonts w:ascii="Arial" w:hAnsi="Arial" w:cs="Arial"/>
          <w:b/>
          <w:bCs/>
          <w:color w:val="4F81BD" w:themeColor="accent1"/>
        </w:rPr>
        <w:t xml:space="preserve">4.2.1 </w:t>
      </w:r>
      <w:r w:rsidRPr="0070243F" w:rsidR="0070243F">
        <w:rPr>
          <w:rFonts w:ascii="Arial" w:hAnsi="Arial" w:cs="Arial"/>
          <w:b/>
          <w:bCs/>
          <w:color w:val="4F81BD" w:themeColor="accent1"/>
        </w:rPr>
        <w:t xml:space="preserve">Clinical </w:t>
      </w:r>
      <w:r w:rsidR="00F00F04">
        <w:rPr>
          <w:rFonts w:ascii="Arial" w:hAnsi="Arial" w:cs="Arial"/>
          <w:b/>
          <w:bCs/>
          <w:color w:val="4F81BD" w:themeColor="accent1"/>
        </w:rPr>
        <w:t>E</w:t>
      </w:r>
      <w:r w:rsidRPr="0070243F" w:rsidR="0070243F">
        <w:rPr>
          <w:rFonts w:ascii="Arial" w:hAnsi="Arial" w:cs="Arial"/>
          <w:b/>
          <w:bCs/>
          <w:color w:val="4F81BD" w:themeColor="accent1"/>
        </w:rPr>
        <w:t xml:space="preserve">xceptionality: </w:t>
      </w:r>
      <w:r w:rsidR="008F25CB">
        <w:rPr>
          <w:rFonts w:ascii="Arial" w:hAnsi="Arial" w:cs="Arial"/>
          <w:b/>
          <w:bCs/>
          <w:color w:val="4F81BD" w:themeColor="accent1"/>
        </w:rPr>
        <w:t>F</w:t>
      </w:r>
      <w:r w:rsidRPr="0070243F" w:rsidR="0070243F">
        <w:rPr>
          <w:rFonts w:ascii="Arial" w:hAnsi="Arial" w:cs="Arial"/>
          <w:b/>
          <w:bCs/>
          <w:color w:val="4F81BD" w:themeColor="accent1"/>
        </w:rPr>
        <w:t xml:space="preserve">ailure to </w:t>
      </w:r>
      <w:r w:rsidR="008F25CB">
        <w:rPr>
          <w:rFonts w:ascii="Arial" w:hAnsi="Arial" w:cs="Arial"/>
          <w:b/>
          <w:bCs/>
          <w:color w:val="4F81BD" w:themeColor="accent1"/>
        </w:rPr>
        <w:t>R</w:t>
      </w:r>
      <w:r w:rsidRPr="0070243F" w:rsidR="0070243F">
        <w:rPr>
          <w:rFonts w:ascii="Arial" w:hAnsi="Arial" w:cs="Arial"/>
          <w:b/>
          <w:bCs/>
          <w:color w:val="4F81BD" w:themeColor="accent1"/>
        </w:rPr>
        <w:t xml:space="preserve">espond to </w:t>
      </w:r>
      <w:r w:rsidR="007A5D31">
        <w:rPr>
          <w:rFonts w:ascii="Arial" w:hAnsi="Arial" w:cs="Arial"/>
          <w:b/>
          <w:bCs/>
          <w:color w:val="4F81BD" w:themeColor="accent1"/>
        </w:rPr>
        <w:t>S</w:t>
      </w:r>
      <w:r w:rsidRPr="0070243F" w:rsidR="0070243F">
        <w:rPr>
          <w:rFonts w:ascii="Arial" w:hAnsi="Arial" w:cs="Arial"/>
          <w:b/>
          <w:bCs/>
          <w:color w:val="4F81BD" w:themeColor="accent1"/>
        </w:rPr>
        <w:t xml:space="preserve">tandard </w:t>
      </w:r>
      <w:r w:rsidR="008F25CB">
        <w:rPr>
          <w:rFonts w:ascii="Arial" w:hAnsi="Arial" w:cs="Arial"/>
          <w:b/>
          <w:bCs/>
          <w:color w:val="4F81BD" w:themeColor="accent1"/>
        </w:rPr>
        <w:t>C</w:t>
      </w:r>
      <w:r w:rsidRPr="0070243F" w:rsidR="0070243F">
        <w:rPr>
          <w:rFonts w:ascii="Arial" w:hAnsi="Arial" w:cs="Arial"/>
          <w:b/>
          <w:bCs/>
          <w:color w:val="4F81BD" w:themeColor="accent1"/>
        </w:rPr>
        <w:t>are.</w:t>
      </w:r>
    </w:p>
    <w:p w:rsidRPr="0062464A" w:rsidR="0070243F" w:rsidP="0070243F" w:rsidRDefault="0070243F" w14:paraId="29691475" w14:textId="77777777">
      <w:pPr>
        <w:rPr>
          <w:rFonts w:ascii="Arial" w:hAnsi="Arial" w:cs="Arial"/>
        </w:rPr>
      </w:pPr>
      <w:r w:rsidRPr="0062464A">
        <w:rPr>
          <w:rFonts w:ascii="Arial" w:hAnsi="Arial" w:cs="Arial"/>
        </w:rPr>
        <w:t xml:space="preserve">The fact that a patient has failed to respond to, or is unable to be provided with, all treatment options available for a particular condition (either because of a co-morbidity or because the patient cannot tolerate the side effects of the usual treatment) is unlikely, on its own, to be sufficient to demonstrate exceptional clinical circumstances. There are common co-morbidities for </w:t>
      </w:r>
      <w:proofErr w:type="gramStart"/>
      <w:r w:rsidRPr="0062464A">
        <w:rPr>
          <w:rFonts w:ascii="Arial" w:hAnsi="Arial" w:cs="Arial"/>
        </w:rPr>
        <w:t>many</w:t>
      </w:r>
      <w:proofErr w:type="gramEnd"/>
      <w:r w:rsidRPr="0062464A">
        <w:rPr>
          <w:rFonts w:ascii="Arial" w:hAnsi="Arial" w:cs="Arial"/>
        </w:rPr>
        <w:t xml:space="preserve"> conditions. Again, these considerations are likely to have been </w:t>
      </w:r>
      <w:proofErr w:type="gramStart"/>
      <w:r w:rsidRPr="0062464A">
        <w:rPr>
          <w:rFonts w:ascii="Arial" w:hAnsi="Arial" w:cs="Arial"/>
        </w:rPr>
        <w:t>taken into account</w:t>
      </w:r>
      <w:proofErr w:type="gramEnd"/>
      <w:r w:rsidRPr="0062464A">
        <w:rPr>
          <w:rFonts w:ascii="Arial" w:hAnsi="Arial" w:cs="Arial"/>
        </w:rPr>
        <w:t xml:space="preserve"> in formulating the general policy. </w:t>
      </w:r>
    </w:p>
    <w:p w:rsidRPr="0062464A" w:rsidR="0070243F" w:rsidP="0070243F" w:rsidRDefault="0070243F" w14:paraId="3F4293C3" w14:textId="77777777">
      <w:pPr>
        <w:rPr>
          <w:rFonts w:ascii="Arial" w:hAnsi="Arial" w:cs="Arial"/>
        </w:rPr>
      </w:pPr>
      <w:proofErr w:type="gramStart"/>
      <w:r w:rsidRPr="0062464A">
        <w:rPr>
          <w:rFonts w:ascii="Arial" w:hAnsi="Arial" w:cs="Arial"/>
        </w:rPr>
        <w:t>Many</w:t>
      </w:r>
      <w:proofErr w:type="gramEnd"/>
      <w:r w:rsidRPr="0062464A">
        <w:rPr>
          <w:rFonts w:ascii="Arial" w:hAnsi="Arial" w:cs="Arial"/>
        </w:rPr>
        <w:t xml:space="preserve"> conditions are progressive and thus inevitably there will be a more severe form of the condition – severity of a patient’s condition does not in itself usually indicate exceptionality. </w:t>
      </w:r>
      <w:proofErr w:type="gramStart"/>
      <w:r w:rsidRPr="0062464A">
        <w:rPr>
          <w:rFonts w:ascii="Arial" w:hAnsi="Arial" w:cs="Arial"/>
        </w:rPr>
        <w:t>Many</w:t>
      </w:r>
      <w:proofErr w:type="gramEnd"/>
      <w:r w:rsidRPr="0062464A">
        <w:rPr>
          <w:rFonts w:ascii="Arial" w:hAnsi="Arial" w:cs="Arial"/>
        </w:rPr>
        <w:t xml:space="preserve"> treatments have side effects or contraindications, and thus intolerance or contraindication of a treatment does not in itself, usually indicate exceptionality. </w:t>
      </w:r>
    </w:p>
    <w:p w:rsidRPr="0062464A" w:rsidR="0070243F" w:rsidP="0070243F" w:rsidRDefault="0070243F" w14:paraId="782B6FB6" w14:textId="77777777">
      <w:pPr>
        <w:rPr>
          <w:rFonts w:ascii="Arial" w:hAnsi="Arial" w:cs="Arial"/>
        </w:rPr>
      </w:pPr>
      <w:r w:rsidRPr="0062464A">
        <w:rPr>
          <w:rFonts w:ascii="Arial" w:hAnsi="Arial" w:cs="Arial"/>
        </w:rPr>
        <w:t>So, to support an IFR on the basis of failure to respond to standard care, the IFR screening group / Panel would normally need to be satisfied that the patient’s inability to respond to, or be provided with, the usual treatment was a genuinely exceptional circumstance, which lies outside the natural history of the condition and is not characteristic of the relevant group of patients with the condition. For example:</w:t>
      </w:r>
    </w:p>
    <w:p w:rsidRPr="0070243F" w:rsidR="0070243F" w:rsidP="00D87A65" w:rsidRDefault="0070243F" w14:paraId="35698B16" w14:textId="77777777">
      <w:pPr>
        <w:pStyle w:val="ListParagraph"/>
        <w:numPr>
          <w:ilvl w:val="0"/>
          <w:numId w:val="13"/>
        </w:numPr>
        <w:rPr>
          <w:rFonts w:ascii="Arial" w:hAnsi="Arial" w:cs="Arial"/>
        </w:rPr>
      </w:pPr>
      <w:r w:rsidRPr="0070243F">
        <w:rPr>
          <w:rFonts w:ascii="Arial" w:hAnsi="Arial" w:cs="Arial"/>
        </w:rPr>
        <w:t xml:space="preserve">If the usual treatment is only effective for a proportion of patients (even if a high proportion), this leaves a proportion of patients within the group for whom it is already known that the usual treatment is not available or is not clinically effective. The fact that this </w:t>
      </w:r>
      <w:proofErr w:type="gramStart"/>
      <w:r w:rsidRPr="0070243F">
        <w:rPr>
          <w:rFonts w:ascii="Arial" w:hAnsi="Arial" w:cs="Arial"/>
        </w:rPr>
        <w:t>particular patient</w:t>
      </w:r>
      <w:proofErr w:type="gramEnd"/>
      <w:r w:rsidRPr="0070243F">
        <w:rPr>
          <w:rFonts w:ascii="Arial" w:hAnsi="Arial" w:cs="Arial"/>
        </w:rPr>
        <w:t xml:space="preserve"> falls into that group is unlikely to be a proper ground on which to base a claim that they are exceptional as an individual. </w:t>
      </w:r>
    </w:p>
    <w:p w:rsidRPr="0070243F" w:rsidR="0070243F" w:rsidP="00D87A65" w:rsidRDefault="0070243F" w14:paraId="2D09891C" w14:textId="77777777">
      <w:pPr>
        <w:pStyle w:val="ListParagraph"/>
        <w:numPr>
          <w:ilvl w:val="0"/>
          <w:numId w:val="13"/>
        </w:numPr>
        <w:rPr>
          <w:rFonts w:ascii="Arial" w:hAnsi="Arial" w:cs="Arial"/>
        </w:rPr>
      </w:pPr>
      <w:r w:rsidRPr="0070243F">
        <w:rPr>
          <w:rFonts w:ascii="Arial" w:hAnsi="Arial" w:cs="Arial"/>
        </w:rPr>
        <w:t xml:space="preserve">As regards side effects, as an example, all patients who </w:t>
      </w:r>
      <w:proofErr w:type="gramStart"/>
      <w:r w:rsidRPr="0070243F">
        <w:rPr>
          <w:rFonts w:ascii="Arial" w:hAnsi="Arial" w:cs="Arial"/>
        </w:rPr>
        <w:t>are treated</w:t>
      </w:r>
      <w:proofErr w:type="gramEnd"/>
      <w:r w:rsidRPr="0070243F">
        <w:rPr>
          <w:rFonts w:ascii="Arial" w:hAnsi="Arial" w:cs="Arial"/>
        </w:rPr>
        <w:t xml:space="preserve"> with long-term high-dose steroids will develop side-effects (typical and well recognised) and thus developing these side effects and wishing to be treated with something else does not make the patient exceptional. </w:t>
      </w:r>
    </w:p>
    <w:p w:rsidRPr="0070243F" w:rsidR="0070243F" w:rsidP="00D87A65" w:rsidRDefault="0070243F" w14:paraId="61DDC0E6" w14:textId="1C4169C5">
      <w:pPr>
        <w:pStyle w:val="ListParagraph"/>
        <w:numPr>
          <w:ilvl w:val="0"/>
          <w:numId w:val="13"/>
        </w:numPr>
        <w:rPr>
          <w:rFonts w:ascii="Arial" w:hAnsi="Arial" w:cs="Arial"/>
        </w:rPr>
      </w:pPr>
      <w:r w:rsidRPr="4CA4F3CC" w:rsidR="0070243F">
        <w:rPr>
          <w:rFonts w:ascii="Arial" w:hAnsi="Arial" w:cs="Arial"/>
        </w:rPr>
        <w:t xml:space="preserve">If the usual treatment cannot be given because of a pre-existing comorbidity which is unrelated to the condition for which the treatment is being sought under the IFR or is not unusual in the relevant patient group or generally, the fact that the co-morbidity is present in this patient and its impact on treatment options for this patient is unlikely to make the patient clinically exceptional. As an illustration, </w:t>
      </w:r>
      <w:r w:rsidRPr="4CA4F3CC" w:rsidR="0070243F">
        <w:rPr>
          <w:rFonts w:ascii="Arial" w:hAnsi="Arial" w:cs="Arial"/>
        </w:rPr>
        <w:t>some</w:t>
      </w:r>
      <w:r w:rsidRPr="4CA4F3CC" w:rsidR="0070243F">
        <w:rPr>
          <w:rFonts w:ascii="Arial" w:hAnsi="Arial" w:cs="Arial"/>
        </w:rPr>
        <w:t xml:space="preserve"> comorbidities are common in the general population, for example, diabetes which affects around 7% of adults, or asthma which affects at least 10% of the population. Diabetes and its treatments affect </w:t>
      </w:r>
      <w:r w:rsidRPr="4CA4F3CC" w:rsidR="0070243F">
        <w:rPr>
          <w:rFonts w:ascii="Arial" w:hAnsi="Arial" w:cs="Arial"/>
        </w:rPr>
        <w:t>many</w:t>
      </w:r>
      <w:r w:rsidRPr="4CA4F3CC" w:rsidR="0070243F">
        <w:rPr>
          <w:rFonts w:ascii="Arial" w:hAnsi="Arial" w:cs="Arial"/>
        </w:rPr>
        <w:t xml:space="preserve"> other conditions; for example, steroids make glucose control more difficult. With any condition there will be a recognised proportion who also have a comorbidity which is common in the general population, and thus a patient cannot be exceptional by virtue of also having a comorbidity which is common in the general population. </w:t>
      </w:r>
    </w:p>
    <w:p w:rsidR="4CA4F3CC" w:rsidP="4CA4F3CC" w:rsidRDefault="4CA4F3CC" w14:paraId="47897106" w14:textId="422E7FE2">
      <w:pPr>
        <w:pStyle w:val="ListParagraph"/>
        <w:ind w:left="720"/>
        <w:rPr>
          <w:rFonts w:ascii="Arial" w:hAnsi="Arial" w:cs="Arial"/>
        </w:rPr>
      </w:pPr>
    </w:p>
    <w:p w:rsidR="0070243F" w:rsidP="0026695D" w:rsidRDefault="001C64BC" w14:paraId="133E2D92" w14:textId="063A0619">
      <w:pPr>
        <w:spacing w:after="0"/>
        <w:rPr>
          <w:rFonts w:ascii="Arial" w:hAnsi="Arial" w:cs="Arial"/>
          <w:b/>
          <w:bCs/>
          <w:color w:val="4F81BD" w:themeColor="accent1"/>
        </w:rPr>
      </w:pPr>
      <w:r>
        <w:rPr>
          <w:rFonts w:ascii="Arial" w:hAnsi="Arial" w:cs="Arial"/>
          <w:b/>
          <w:bCs/>
          <w:color w:val="4F81BD" w:themeColor="accent1"/>
        </w:rPr>
        <w:t xml:space="preserve">4.2.2 </w:t>
      </w:r>
      <w:r w:rsidRPr="0070243F" w:rsidR="0070243F">
        <w:rPr>
          <w:rFonts w:ascii="Arial" w:hAnsi="Arial" w:cs="Arial"/>
          <w:b/>
          <w:bCs/>
          <w:color w:val="4F81BD" w:themeColor="accent1"/>
        </w:rPr>
        <w:t>Clinical Exceptionality: Genotypes</w:t>
      </w:r>
    </w:p>
    <w:p w:rsidRPr="0070243F" w:rsidR="008949C2" w:rsidP="0026695D" w:rsidRDefault="008949C2" w14:paraId="594980D1" w14:textId="77777777">
      <w:pPr>
        <w:spacing w:after="0"/>
        <w:rPr>
          <w:rFonts w:ascii="Arial" w:hAnsi="Arial" w:cs="Arial"/>
          <w:b/>
          <w:bCs/>
          <w:color w:val="4F81BD" w:themeColor="accent1"/>
        </w:rPr>
      </w:pPr>
    </w:p>
    <w:p w:rsidRPr="0062464A" w:rsidR="0070243F" w:rsidP="0070243F" w:rsidRDefault="0070243F" w14:paraId="5366F0BC" w14:textId="7677AD50">
      <w:pPr>
        <w:rPr>
          <w:rFonts w:ascii="Arial" w:hAnsi="Arial" w:cs="Arial"/>
        </w:rPr>
      </w:pPr>
      <w:r w:rsidRPr="4CA4F3CC" w:rsidR="0070243F">
        <w:rPr>
          <w:rFonts w:ascii="Arial" w:hAnsi="Arial" w:cs="Arial"/>
        </w:rPr>
        <w:t>When the argument for clinical exceptionality is based on the patient having a specific genotype (genetic profile), the IFR Panel will require evidence of the prevalence of the genotype in the patient group. The applicant will need to show how the specific genotype would make the patient a) different to others in terms of clinical management and b) able to benefit from the treatment to a greater degree than others with the same or different symptoms of the condition.</w:t>
      </w:r>
    </w:p>
    <w:p w:rsidR="4CA4F3CC" w:rsidP="4CA4F3CC" w:rsidRDefault="4CA4F3CC" w14:paraId="0C280CC4" w14:textId="4C02E049">
      <w:pPr>
        <w:rPr>
          <w:rFonts w:ascii="Arial" w:hAnsi="Arial" w:cs="Arial"/>
        </w:rPr>
      </w:pPr>
    </w:p>
    <w:p w:rsidRPr="0070243F" w:rsidR="0070243F" w:rsidP="0070243F" w:rsidRDefault="001C64BC" w14:paraId="2F2E4D11" w14:textId="4B4D9D58">
      <w:pPr>
        <w:rPr>
          <w:rFonts w:ascii="Arial" w:hAnsi="Arial" w:cs="Arial"/>
          <w:b/>
          <w:bCs/>
          <w:color w:val="4F81BD" w:themeColor="accent1"/>
        </w:rPr>
      </w:pPr>
      <w:r>
        <w:rPr>
          <w:rFonts w:ascii="Arial" w:hAnsi="Arial" w:cs="Arial"/>
          <w:b/>
          <w:bCs/>
          <w:color w:val="4F81BD" w:themeColor="accent1"/>
        </w:rPr>
        <w:t xml:space="preserve">4.2.3 </w:t>
      </w:r>
      <w:r w:rsidRPr="0070243F" w:rsidR="0070243F">
        <w:rPr>
          <w:rFonts w:ascii="Arial" w:hAnsi="Arial" w:cs="Arial"/>
          <w:b/>
          <w:bCs/>
          <w:color w:val="4F81BD" w:themeColor="accent1"/>
        </w:rPr>
        <w:t xml:space="preserve">Clinical </w:t>
      </w:r>
      <w:r w:rsidR="0070243F">
        <w:rPr>
          <w:rFonts w:ascii="Arial" w:hAnsi="Arial" w:cs="Arial"/>
          <w:b/>
          <w:bCs/>
          <w:color w:val="4F81BD" w:themeColor="accent1"/>
        </w:rPr>
        <w:t>E</w:t>
      </w:r>
      <w:r w:rsidRPr="0070243F" w:rsidR="0070243F">
        <w:rPr>
          <w:rFonts w:ascii="Arial" w:hAnsi="Arial" w:cs="Arial"/>
          <w:b/>
          <w:bCs/>
          <w:color w:val="4F81BD" w:themeColor="accent1"/>
        </w:rPr>
        <w:t xml:space="preserve">xceptionality: </w:t>
      </w:r>
      <w:r w:rsidR="0070243F">
        <w:rPr>
          <w:rFonts w:ascii="Arial" w:hAnsi="Arial" w:cs="Arial"/>
          <w:b/>
          <w:bCs/>
          <w:color w:val="4F81BD" w:themeColor="accent1"/>
        </w:rPr>
        <w:t>S</w:t>
      </w:r>
      <w:r w:rsidRPr="0070243F" w:rsidR="0070243F">
        <w:rPr>
          <w:rFonts w:ascii="Arial" w:hAnsi="Arial" w:cs="Arial"/>
          <w:b/>
          <w:bCs/>
          <w:color w:val="4F81BD" w:themeColor="accent1"/>
        </w:rPr>
        <w:t xml:space="preserve">everity </w:t>
      </w:r>
    </w:p>
    <w:p w:rsidRPr="0062464A" w:rsidR="0070243F" w:rsidP="0070243F" w:rsidRDefault="0070243F" w14:paraId="1E4F46D1" w14:textId="19E4D60E">
      <w:pPr>
        <w:rPr>
          <w:rFonts w:ascii="Arial" w:hAnsi="Arial" w:cs="Arial"/>
        </w:rPr>
      </w:pPr>
      <w:r w:rsidRPr="0062464A">
        <w:rPr>
          <w:rFonts w:ascii="Arial" w:hAnsi="Arial" w:cs="Arial"/>
        </w:rPr>
        <w:t xml:space="preserve">Should severity </w:t>
      </w:r>
      <w:proofErr w:type="gramStart"/>
      <w:r w:rsidRPr="0062464A">
        <w:rPr>
          <w:rFonts w:ascii="Arial" w:hAnsi="Arial" w:cs="Arial"/>
        </w:rPr>
        <w:t>be cited</w:t>
      </w:r>
      <w:proofErr w:type="gramEnd"/>
      <w:r w:rsidRPr="0062464A">
        <w:rPr>
          <w:rFonts w:ascii="Arial" w:hAnsi="Arial" w:cs="Arial"/>
        </w:rPr>
        <w:t xml:space="preserve"> by the requesting clinician as part of the argument for exceptionality, the application should make clear:</w:t>
      </w:r>
    </w:p>
    <w:p w:rsidR="0070243F" w:rsidP="00D87A65" w:rsidRDefault="0070243F" w14:paraId="38988566" w14:textId="77777777">
      <w:pPr>
        <w:pStyle w:val="ListParagraph"/>
        <w:numPr>
          <w:ilvl w:val="0"/>
          <w:numId w:val="14"/>
        </w:numPr>
        <w:rPr>
          <w:rFonts w:ascii="Arial" w:hAnsi="Arial" w:cs="Arial"/>
        </w:rPr>
      </w:pPr>
      <w:r w:rsidRPr="0070243F">
        <w:rPr>
          <w:rFonts w:ascii="Arial" w:hAnsi="Arial" w:cs="Arial"/>
        </w:rPr>
        <w:t xml:space="preserve">Whether there is evidence that the patient’s presentation lies outside the normal spectrum for that condition. Preferably, a recognised scoring or classification system should </w:t>
      </w:r>
      <w:proofErr w:type="gramStart"/>
      <w:r w:rsidRPr="0070243F">
        <w:rPr>
          <w:rFonts w:ascii="Arial" w:hAnsi="Arial" w:cs="Arial"/>
        </w:rPr>
        <w:t>be used</w:t>
      </w:r>
      <w:proofErr w:type="gramEnd"/>
      <w:r w:rsidRPr="0070243F">
        <w:rPr>
          <w:rFonts w:ascii="Arial" w:hAnsi="Arial" w:cs="Arial"/>
        </w:rPr>
        <w:t xml:space="preserve"> to describe the patient’s condition. </w:t>
      </w:r>
    </w:p>
    <w:p w:rsidR="0070243F" w:rsidP="00D87A65" w:rsidRDefault="0070243F" w14:paraId="231E7EB9" w14:textId="77777777">
      <w:pPr>
        <w:pStyle w:val="ListParagraph"/>
        <w:numPr>
          <w:ilvl w:val="0"/>
          <w:numId w:val="14"/>
        </w:numPr>
        <w:rPr>
          <w:rFonts w:ascii="Arial" w:hAnsi="Arial" w:cs="Arial"/>
        </w:rPr>
      </w:pPr>
      <w:r w:rsidRPr="0070243F">
        <w:rPr>
          <w:rFonts w:ascii="Arial" w:hAnsi="Arial" w:cs="Arial"/>
        </w:rPr>
        <w:t xml:space="preserve">Whether there is evidence that the patient has progressed to a very severe form of the condition </w:t>
      </w:r>
      <w:proofErr w:type="gramStart"/>
      <w:r w:rsidRPr="0070243F">
        <w:rPr>
          <w:rFonts w:ascii="Arial" w:hAnsi="Arial" w:cs="Arial"/>
        </w:rPr>
        <w:t>much</w:t>
      </w:r>
      <w:proofErr w:type="gramEnd"/>
      <w:r w:rsidRPr="0070243F">
        <w:rPr>
          <w:rFonts w:ascii="Arial" w:hAnsi="Arial" w:cs="Arial"/>
        </w:rPr>
        <w:t xml:space="preserve"> more rapidly than the range of progression that is documented and usually observed within the natural history of the condition. </w:t>
      </w:r>
    </w:p>
    <w:p w:rsidR="0070243F" w:rsidP="00D87A65" w:rsidRDefault="0070243F" w14:paraId="5AF9B56E" w14:textId="77777777">
      <w:pPr>
        <w:pStyle w:val="ListParagraph"/>
        <w:numPr>
          <w:ilvl w:val="0"/>
          <w:numId w:val="14"/>
        </w:numPr>
        <w:rPr>
          <w:rFonts w:ascii="Arial" w:hAnsi="Arial" w:cs="Arial"/>
        </w:rPr>
      </w:pPr>
      <w:r w:rsidRPr="0070243F">
        <w:rPr>
          <w:rFonts w:ascii="Arial" w:hAnsi="Arial" w:cs="Arial"/>
        </w:rPr>
        <w:t xml:space="preserve">How the patient </w:t>
      </w:r>
      <w:proofErr w:type="gramStart"/>
      <w:r w:rsidRPr="0070243F">
        <w:rPr>
          <w:rFonts w:ascii="Arial" w:hAnsi="Arial" w:cs="Arial"/>
        </w:rPr>
        <w:t>is expected</w:t>
      </w:r>
      <w:proofErr w:type="gramEnd"/>
      <w:r w:rsidRPr="0070243F">
        <w:rPr>
          <w:rFonts w:ascii="Arial" w:hAnsi="Arial" w:cs="Arial"/>
        </w:rPr>
        <w:t xml:space="preserve"> to benefit from the treatment sought and in what quantifiable way.</w:t>
      </w:r>
    </w:p>
    <w:p w:rsidRPr="001C64BC" w:rsidR="0070243F" w:rsidP="00D87A65" w:rsidRDefault="0070243F" w14:paraId="60AC1DBF" w14:textId="1C5201FD">
      <w:pPr>
        <w:pStyle w:val="ListParagraph"/>
        <w:numPr>
          <w:ilvl w:val="0"/>
          <w:numId w:val="14"/>
        </w:numPr>
        <w:rPr>
          <w:rFonts w:ascii="Arial" w:hAnsi="Arial" w:cs="Arial"/>
        </w:rPr>
      </w:pPr>
      <w:r w:rsidRPr="007A6FC3">
        <w:rPr>
          <w:rFonts w:ascii="Arial" w:hAnsi="Arial" w:cs="Arial"/>
        </w:rPr>
        <w:t xml:space="preserve">That there is evidence that the impact of the condition on this patient's health is significantly greater than its impact on the rest of the patient group, e.g., the condition is usually a mild disease, but the presenting case is an extremely severe presentation; and </w:t>
      </w:r>
      <w:r w:rsidR="007A6FC3">
        <w:rPr>
          <w:rFonts w:ascii="Arial" w:hAnsi="Arial" w:cs="Arial"/>
        </w:rPr>
        <w:t>t</w:t>
      </w:r>
      <w:r w:rsidRPr="007A6FC3">
        <w:rPr>
          <w:rFonts w:ascii="Arial" w:hAnsi="Arial" w:cs="Arial"/>
        </w:rPr>
        <w:t>hat there is a plausible argument that the severity of the condition is prognostic of good response to treatment.</w:t>
      </w:r>
    </w:p>
    <w:p w:rsidR="009D0501" w:rsidP="0026695D" w:rsidRDefault="009D0501" w14:paraId="5C3AA69C" w14:textId="77777777">
      <w:pPr>
        <w:spacing w:after="0"/>
        <w:rPr>
          <w:rFonts w:ascii="Arial" w:hAnsi="Arial" w:cs="Arial"/>
          <w:b/>
          <w:bCs/>
          <w:color w:val="4F81BD" w:themeColor="accent1"/>
        </w:rPr>
      </w:pPr>
    </w:p>
    <w:p w:rsidR="009D0501" w:rsidP="0026695D" w:rsidRDefault="009D0501" w14:paraId="692693C2" w14:textId="77777777">
      <w:pPr>
        <w:spacing w:after="0"/>
        <w:rPr>
          <w:rFonts w:ascii="Arial" w:hAnsi="Arial" w:cs="Arial"/>
          <w:b/>
          <w:bCs/>
          <w:color w:val="4F81BD" w:themeColor="accent1"/>
        </w:rPr>
      </w:pPr>
    </w:p>
    <w:p w:rsidR="009D0501" w:rsidP="0026695D" w:rsidRDefault="009D0501" w14:paraId="6D8769EB" w14:textId="77777777">
      <w:pPr>
        <w:spacing w:after="0"/>
        <w:rPr>
          <w:rFonts w:ascii="Arial" w:hAnsi="Arial" w:cs="Arial"/>
          <w:b/>
          <w:bCs/>
          <w:color w:val="4F81BD" w:themeColor="accent1"/>
        </w:rPr>
      </w:pPr>
    </w:p>
    <w:p w:rsidR="009D0501" w:rsidP="0026695D" w:rsidRDefault="009D0501" w14:paraId="6EADB2EE" w14:textId="6F39F7FC">
      <w:pPr>
        <w:spacing w:after="0"/>
        <w:rPr>
          <w:rFonts w:ascii="Arial" w:hAnsi="Arial" w:cs="Arial"/>
          <w:b w:val="1"/>
          <w:bCs w:val="1"/>
          <w:color w:val="4F81BD" w:themeColor="accent1"/>
        </w:rPr>
      </w:pPr>
    </w:p>
    <w:p w:rsidR="4CA4F3CC" w:rsidP="4CA4F3CC" w:rsidRDefault="4CA4F3CC" w14:paraId="2B072913" w14:textId="002F5786">
      <w:pPr>
        <w:spacing w:after="0"/>
        <w:rPr>
          <w:rFonts w:ascii="Arial" w:hAnsi="Arial" w:cs="Arial"/>
          <w:b w:val="1"/>
          <w:bCs w:val="1"/>
          <w:color w:val="4F81BD" w:themeColor="accent1" w:themeTint="FF" w:themeShade="FF"/>
        </w:rPr>
      </w:pPr>
    </w:p>
    <w:p w:rsidRPr="007A6FC3" w:rsidR="0070243F" w:rsidP="0026695D" w:rsidRDefault="001C64BC" w14:paraId="45FE06B9" w14:textId="7EF7420C">
      <w:pPr>
        <w:spacing w:after="0"/>
        <w:rPr>
          <w:rFonts w:ascii="Arial" w:hAnsi="Arial" w:cs="Arial"/>
          <w:b/>
          <w:bCs/>
          <w:color w:val="4F81BD" w:themeColor="accent1"/>
        </w:rPr>
      </w:pPr>
      <w:r>
        <w:rPr>
          <w:rFonts w:ascii="Arial" w:hAnsi="Arial" w:cs="Arial"/>
          <w:b/>
          <w:bCs/>
          <w:color w:val="4F81BD" w:themeColor="accent1"/>
        </w:rPr>
        <w:t xml:space="preserve">4.2.4 </w:t>
      </w:r>
      <w:r w:rsidRPr="007A6FC3" w:rsidR="0070243F">
        <w:rPr>
          <w:rFonts w:ascii="Arial" w:hAnsi="Arial" w:cs="Arial"/>
          <w:b/>
          <w:bCs/>
          <w:color w:val="4F81BD" w:themeColor="accent1"/>
        </w:rPr>
        <w:t xml:space="preserve">Clinical </w:t>
      </w:r>
      <w:r w:rsidR="007A6FC3">
        <w:rPr>
          <w:rFonts w:ascii="Arial" w:hAnsi="Arial" w:cs="Arial"/>
          <w:b/>
          <w:bCs/>
          <w:color w:val="4F81BD" w:themeColor="accent1"/>
        </w:rPr>
        <w:t>E</w:t>
      </w:r>
      <w:r w:rsidRPr="007A6FC3" w:rsidR="0070243F">
        <w:rPr>
          <w:rFonts w:ascii="Arial" w:hAnsi="Arial" w:cs="Arial"/>
          <w:b/>
          <w:bCs/>
          <w:color w:val="4F81BD" w:themeColor="accent1"/>
        </w:rPr>
        <w:t xml:space="preserve">xceptionality: </w:t>
      </w:r>
      <w:r w:rsidR="007A6FC3">
        <w:rPr>
          <w:rFonts w:ascii="Arial" w:hAnsi="Arial" w:cs="Arial"/>
          <w:b/>
          <w:bCs/>
          <w:color w:val="4F81BD" w:themeColor="accent1"/>
        </w:rPr>
        <w:t>M</w:t>
      </w:r>
      <w:r w:rsidRPr="007A6FC3" w:rsidR="0070243F">
        <w:rPr>
          <w:rFonts w:ascii="Arial" w:hAnsi="Arial" w:cs="Arial"/>
          <w:b/>
          <w:bCs/>
          <w:color w:val="4F81BD" w:themeColor="accent1"/>
        </w:rPr>
        <w:t xml:space="preserve">ultiple </w:t>
      </w:r>
      <w:r w:rsidR="007A6FC3">
        <w:rPr>
          <w:rFonts w:ascii="Arial" w:hAnsi="Arial" w:cs="Arial"/>
          <w:b/>
          <w:bCs/>
          <w:color w:val="4F81BD" w:themeColor="accent1"/>
        </w:rPr>
        <w:t>G</w:t>
      </w:r>
      <w:r w:rsidRPr="007A6FC3" w:rsidR="0070243F">
        <w:rPr>
          <w:rFonts w:ascii="Arial" w:hAnsi="Arial" w:cs="Arial"/>
          <w:b/>
          <w:bCs/>
          <w:color w:val="4F81BD" w:themeColor="accent1"/>
        </w:rPr>
        <w:t xml:space="preserve">rounds </w:t>
      </w:r>
    </w:p>
    <w:p w:rsidR="008170FC" w:rsidP="0026695D" w:rsidRDefault="008170FC" w14:paraId="26D22AF2" w14:textId="77777777">
      <w:pPr>
        <w:spacing w:after="0"/>
        <w:rPr>
          <w:rFonts w:ascii="Arial" w:hAnsi="Arial" w:cs="Arial"/>
        </w:rPr>
      </w:pPr>
    </w:p>
    <w:p w:rsidR="0070243F" w:rsidP="0026695D" w:rsidRDefault="0070243F" w14:paraId="3D54B4FC" w14:textId="56D1C0AA">
      <w:pPr>
        <w:spacing w:after="0"/>
        <w:rPr>
          <w:rFonts w:ascii="Arial" w:hAnsi="Arial" w:cs="Arial"/>
        </w:rPr>
      </w:pPr>
      <w:r w:rsidRPr="0062464A">
        <w:rPr>
          <w:rFonts w:ascii="Arial" w:hAnsi="Arial" w:cs="Arial"/>
        </w:rPr>
        <w:t xml:space="preserve">There may be cases where clinicians seek to rely on multiple factors to show that their case is clinically exceptional. In such cases each factor will </w:t>
      </w:r>
      <w:proofErr w:type="gramStart"/>
      <w:r w:rsidRPr="0062464A">
        <w:rPr>
          <w:rFonts w:ascii="Arial" w:hAnsi="Arial" w:cs="Arial"/>
        </w:rPr>
        <w:t>be looked</w:t>
      </w:r>
      <w:proofErr w:type="gramEnd"/>
      <w:r w:rsidRPr="0062464A">
        <w:rPr>
          <w:rFonts w:ascii="Arial" w:hAnsi="Arial" w:cs="Arial"/>
        </w:rPr>
        <w:t xml:space="preserve"> at individually to determine a) whether the factor is capable, potentially, of making the case exceptional and b) whether it does in fact make the patient’s case exceptional. One factor may be incapable of supporting a case of exceptionality (and should therefore </w:t>
      </w:r>
      <w:proofErr w:type="gramStart"/>
      <w:r w:rsidRPr="0062464A">
        <w:rPr>
          <w:rFonts w:ascii="Arial" w:hAnsi="Arial" w:cs="Arial"/>
        </w:rPr>
        <w:t>be ignored</w:t>
      </w:r>
      <w:proofErr w:type="gramEnd"/>
      <w:r w:rsidRPr="0062464A">
        <w:rPr>
          <w:rFonts w:ascii="Arial" w:hAnsi="Arial" w:cs="Arial"/>
        </w:rPr>
        <w:t xml:space="preserve">), but it might be relevant on another factor. That is a judgment within the discretion of the IFR screening group and IFR Panel. </w:t>
      </w:r>
    </w:p>
    <w:p w:rsidRPr="0062464A" w:rsidR="008170FC" w:rsidP="0026695D" w:rsidRDefault="008170FC" w14:paraId="3B101D71" w14:textId="77777777">
      <w:pPr>
        <w:spacing w:after="0"/>
        <w:rPr>
          <w:rFonts w:ascii="Arial" w:hAnsi="Arial" w:cs="Arial"/>
        </w:rPr>
      </w:pPr>
    </w:p>
    <w:p w:rsidRPr="0062464A" w:rsidR="0070243F" w:rsidP="0070243F" w:rsidRDefault="0070243F" w14:paraId="799162E5" w14:textId="5E420F8F">
      <w:pPr>
        <w:rPr>
          <w:rFonts w:ascii="Arial" w:hAnsi="Arial" w:cs="Arial"/>
        </w:rPr>
      </w:pPr>
      <w:r w:rsidRPr="0062464A">
        <w:rPr>
          <w:rFonts w:ascii="Arial" w:hAnsi="Arial" w:cs="Arial"/>
        </w:rPr>
        <w:t xml:space="preserve">If it is determined that none of the individual factors on their own mean that the patient’s clinical circumstances are considered exceptional, the combined effect of those factors </w:t>
      </w:r>
      <w:proofErr w:type="gramStart"/>
      <w:r w:rsidRPr="0062464A">
        <w:rPr>
          <w:rFonts w:ascii="Arial" w:hAnsi="Arial" w:cs="Arial"/>
        </w:rPr>
        <w:t>as a whole will</w:t>
      </w:r>
      <w:proofErr w:type="gramEnd"/>
      <w:r w:rsidRPr="0062464A">
        <w:rPr>
          <w:rFonts w:ascii="Arial" w:hAnsi="Arial" w:cs="Arial"/>
        </w:rPr>
        <w:t xml:space="preserve"> be considered. In this way a decision can </w:t>
      </w:r>
      <w:proofErr w:type="gramStart"/>
      <w:r w:rsidRPr="0062464A">
        <w:rPr>
          <w:rFonts w:ascii="Arial" w:hAnsi="Arial" w:cs="Arial"/>
        </w:rPr>
        <w:t>be reached</w:t>
      </w:r>
      <w:proofErr w:type="gramEnd"/>
      <w:r w:rsidRPr="0062464A">
        <w:rPr>
          <w:rFonts w:ascii="Arial" w:hAnsi="Arial" w:cs="Arial"/>
        </w:rPr>
        <w:t xml:space="preserve"> on whether the patient’s clinical circumstances are exceptional, bearing in mind the difference between the range of factors that can always be found between individuals and the definitions used here of exceptional clinical circumstances.</w:t>
      </w:r>
    </w:p>
    <w:p w:rsidR="0070243F" w:rsidP="0026695D" w:rsidRDefault="001C64BC" w14:paraId="598BF030" w14:textId="66701CE3">
      <w:pPr>
        <w:spacing w:after="0"/>
        <w:rPr>
          <w:rFonts w:ascii="Arial" w:hAnsi="Arial" w:cs="Arial"/>
          <w:b/>
          <w:bCs/>
          <w:color w:val="4F81BD" w:themeColor="accent1"/>
        </w:rPr>
      </w:pPr>
      <w:r>
        <w:rPr>
          <w:rFonts w:ascii="Arial" w:hAnsi="Arial" w:cs="Arial"/>
          <w:b/>
          <w:bCs/>
          <w:color w:val="4F81BD" w:themeColor="accent1"/>
        </w:rPr>
        <w:t xml:space="preserve">4.2.5 </w:t>
      </w:r>
      <w:r w:rsidRPr="007A6FC3" w:rsidR="007A6FC3">
        <w:rPr>
          <w:rFonts w:ascii="Arial" w:hAnsi="Arial" w:cs="Arial"/>
          <w:b/>
          <w:bCs/>
          <w:color w:val="4F81BD" w:themeColor="accent1"/>
        </w:rPr>
        <w:t>C</w:t>
      </w:r>
      <w:r w:rsidRPr="007A6FC3" w:rsidR="0070243F">
        <w:rPr>
          <w:rFonts w:ascii="Arial" w:hAnsi="Arial" w:cs="Arial"/>
          <w:b/>
          <w:bCs/>
          <w:color w:val="4F81BD" w:themeColor="accent1"/>
        </w:rPr>
        <w:t>linical Exceptionality: Non-Clinical and Social Factors</w:t>
      </w:r>
    </w:p>
    <w:p w:rsidRPr="007A6FC3" w:rsidR="008170FC" w:rsidP="0026695D" w:rsidRDefault="008170FC" w14:paraId="451FF346" w14:textId="77777777">
      <w:pPr>
        <w:spacing w:after="0"/>
        <w:rPr>
          <w:rFonts w:ascii="Arial" w:hAnsi="Arial" w:cs="Arial"/>
          <w:b/>
          <w:bCs/>
          <w:color w:val="4F81BD" w:themeColor="accent1"/>
        </w:rPr>
      </w:pPr>
    </w:p>
    <w:p w:rsidRPr="0062464A" w:rsidR="0070243F" w:rsidP="0070243F" w:rsidRDefault="0070243F" w14:paraId="688A4B29" w14:textId="77777777">
      <w:pPr>
        <w:rPr>
          <w:rFonts w:ascii="Arial" w:hAnsi="Arial" w:cs="Arial"/>
        </w:rPr>
      </w:pPr>
      <w:r w:rsidRPr="0062464A">
        <w:rPr>
          <w:rFonts w:ascii="Arial" w:hAnsi="Arial" w:cs="Arial"/>
        </w:rPr>
        <w:t xml:space="preserve">The IFR and exceptional case process only considers clinical information. Although initially it may seem reasonable to fund treatment based on reasons grounded in a moral or compassionate view of the case or because of the individual’s situation, background, ambition in life, occupation or family circumstances, these reasons bring into play a judgement of ‘worthiness" for treatment. </w:t>
      </w:r>
    </w:p>
    <w:p w:rsidRPr="0062464A" w:rsidR="0070243F" w:rsidP="0070243F" w:rsidRDefault="0070243F" w14:paraId="1C72490D" w14:textId="77777777">
      <w:pPr>
        <w:rPr>
          <w:rFonts w:ascii="Arial" w:hAnsi="Arial" w:cs="Arial"/>
        </w:rPr>
      </w:pPr>
      <w:r w:rsidRPr="0062464A">
        <w:rPr>
          <w:rFonts w:ascii="Arial" w:hAnsi="Arial" w:cs="Arial"/>
        </w:rPr>
        <w:t xml:space="preserve">As a central principle, the NHS does not make judgements about the worth of different individuals and seeks to treat everyone fairly and equitably. Consideration of these non-clinical factors would introduce this concept of ‘worth’ into clinical decision making. It is a core value that NHS care is available - or unavailable - equally to all. </w:t>
      </w:r>
    </w:p>
    <w:p w:rsidRPr="0062464A" w:rsidR="0070243F" w:rsidP="0070243F" w:rsidRDefault="0070243F" w14:paraId="67693370" w14:textId="3E888EBA">
      <w:pPr>
        <w:rPr>
          <w:rFonts w:ascii="Arial" w:hAnsi="Arial" w:cs="Arial"/>
        </w:rPr>
      </w:pPr>
      <w:r w:rsidRPr="0062464A">
        <w:rPr>
          <w:rFonts w:ascii="Arial" w:hAnsi="Arial" w:cs="Arial"/>
        </w:rPr>
        <w:t xml:space="preserve">Whilst everyone’s individual circumstances are, by definition, unique and on compassionate grounds, reasons can always </w:t>
      </w:r>
      <w:proofErr w:type="gramStart"/>
      <w:r w:rsidRPr="0062464A">
        <w:rPr>
          <w:rFonts w:ascii="Arial" w:hAnsi="Arial" w:cs="Arial"/>
        </w:rPr>
        <w:t>be advanced</w:t>
      </w:r>
      <w:proofErr w:type="gramEnd"/>
      <w:r w:rsidRPr="0062464A">
        <w:rPr>
          <w:rFonts w:ascii="Arial" w:hAnsi="Arial" w:cs="Arial"/>
        </w:rPr>
        <w:t xml:space="preserve"> to support a case for funding, it is likely that the same or similar arguments could be made for all or many of the patients who cannot routinely access the care requested. Non-clinical and social factors must be disregarded for this purpose </w:t>
      </w:r>
      <w:proofErr w:type="gramStart"/>
      <w:r w:rsidRPr="0062464A">
        <w:rPr>
          <w:rFonts w:ascii="Arial" w:hAnsi="Arial" w:cs="Arial"/>
        </w:rPr>
        <w:t>in order for</w:t>
      </w:r>
      <w:proofErr w:type="gramEnd"/>
      <w:r w:rsidRPr="0062464A">
        <w:rPr>
          <w:rFonts w:ascii="Arial" w:hAnsi="Arial" w:cs="Arial"/>
        </w:rPr>
        <w:t xml:space="preserve"> the IFR screening groups and then IFR </w:t>
      </w:r>
      <w:r w:rsidRPr="0062464A" w:rsidR="00E24B37">
        <w:rPr>
          <w:rFonts w:ascii="Arial" w:hAnsi="Arial" w:cs="Arial"/>
        </w:rPr>
        <w:t>Panel</w:t>
      </w:r>
      <w:r w:rsidRPr="0062464A">
        <w:rPr>
          <w:rFonts w:ascii="Arial" w:hAnsi="Arial" w:cs="Arial"/>
        </w:rPr>
        <w:t xml:space="preserve"> to be confident of dealing in a fair manner in comparable cases. If these factors were to </w:t>
      </w:r>
      <w:proofErr w:type="gramStart"/>
      <w:r w:rsidRPr="0062464A">
        <w:rPr>
          <w:rFonts w:ascii="Arial" w:hAnsi="Arial" w:cs="Arial"/>
        </w:rPr>
        <w:t>be included</w:t>
      </w:r>
      <w:proofErr w:type="gramEnd"/>
      <w:r w:rsidRPr="0062464A">
        <w:rPr>
          <w:rFonts w:ascii="Arial" w:hAnsi="Arial" w:cs="Arial"/>
        </w:rPr>
        <w:t xml:space="preserve"> in the decision-making process, </w:t>
      </w:r>
      <w:r w:rsidR="00743BD2">
        <w:rPr>
          <w:rFonts w:ascii="Arial" w:hAnsi="Arial" w:cs="Arial"/>
        </w:rPr>
        <w:t>Central East</w:t>
      </w:r>
      <w:r w:rsidRPr="0062464A">
        <w:rPr>
          <w:rFonts w:ascii="Arial" w:hAnsi="Arial" w:cs="Arial"/>
        </w:rPr>
        <w:t xml:space="preserve"> ICB would not know whether it is being fair to other patients who cannot access such treatment and whose non-clinical and social factors would be the same or similar. </w:t>
      </w:r>
    </w:p>
    <w:p w:rsidRPr="0062464A" w:rsidR="00743BD2" w:rsidP="0070243F" w:rsidRDefault="0070243F" w14:paraId="5A0BB688" w14:textId="49F61AE7">
      <w:pPr>
        <w:rPr>
          <w:rFonts w:ascii="Arial" w:hAnsi="Arial" w:cs="Arial"/>
        </w:rPr>
      </w:pPr>
      <w:r w:rsidRPr="0062464A">
        <w:rPr>
          <w:rFonts w:ascii="Arial" w:hAnsi="Arial" w:cs="Arial"/>
        </w:rPr>
        <w:t>Consideration of social factors would also be contrary to</w:t>
      </w:r>
      <w:r w:rsidR="0090584D">
        <w:rPr>
          <w:rFonts w:ascii="Arial" w:hAnsi="Arial" w:cs="Arial"/>
        </w:rPr>
        <w:t xml:space="preserve"> C</w:t>
      </w:r>
      <w:r w:rsidR="0001036D">
        <w:rPr>
          <w:rFonts w:ascii="Arial" w:hAnsi="Arial" w:cs="Arial"/>
        </w:rPr>
        <w:t>entral East</w:t>
      </w:r>
      <w:r w:rsidRPr="0062464A">
        <w:rPr>
          <w:rFonts w:ascii="Arial" w:hAnsi="Arial" w:cs="Arial"/>
        </w:rPr>
        <w:t xml:space="preserve"> ICB’s policy of non-discrimination in the provision of medical treatment. If, for example, treatment was to </w:t>
      </w:r>
      <w:proofErr w:type="gramStart"/>
      <w:r w:rsidRPr="0062464A">
        <w:rPr>
          <w:rFonts w:ascii="Arial" w:hAnsi="Arial" w:cs="Arial"/>
        </w:rPr>
        <w:t>be provided</w:t>
      </w:r>
      <w:proofErr w:type="gramEnd"/>
      <w:r w:rsidRPr="0062464A">
        <w:rPr>
          <w:rFonts w:ascii="Arial" w:hAnsi="Arial" w:cs="Arial"/>
        </w:rPr>
        <w:t xml:space="preserve"> on the grounds that this would enable an individual to stay in paid work, this would potentially discriminate in favour of those working compared to those not working. These are value judgements which the IFR screening group and IFR Panel should not make.</w:t>
      </w:r>
    </w:p>
    <w:p w:rsidR="008170FC" w:rsidP="0026695D" w:rsidRDefault="008170FC" w14:paraId="112CA36F" w14:textId="77777777">
      <w:pPr>
        <w:spacing w:after="0"/>
        <w:rPr>
          <w:rFonts w:ascii="Arial" w:hAnsi="Arial" w:cs="Arial"/>
          <w:b/>
          <w:bCs/>
          <w:color w:val="4F81BD" w:themeColor="accent1"/>
        </w:rPr>
      </w:pPr>
    </w:p>
    <w:p w:rsidR="008170FC" w:rsidP="0026695D" w:rsidRDefault="008170FC" w14:paraId="5DDCDA3F" w14:textId="77777777">
      <w:pPr>
        <w:spacing w:after="0"/>
        <w:rPr>
          <w:rFonts w:ascii="Arial" w:hAnsi="Arial" w:cs="Arial"/>
          <w:b/>
          <w:bCs/>
          <w:color w:val="4F81BD" w:themeColor="accent1"/>
        </w:rPr>
      </w:pPr>
    </w:p>
    <w:p w:rsidR="009D0501" w:rsidP="0026695D" w:rsidRDefault="009D0501" w14:paraId="21404488" w14:textId="77777777">
      <w:pPr>
        <w:spacing w:after="0"/>
        <w:rPr>
          <w:rFonts w:ascii="Arial" w:hAnsi="Arial" w:cs="Arial"/>
          <w:b/>
          <w:bCs/>
          <w:color w:val="4F81BD" w:themeColor="accent1"/>
        </w:rPr>
      </w:pPr>
    </w:p>
    <w:p w:rsidR="008170FC" w:rsidP="0026695D" w:rsidRDefault="008170FC" w14:paraId="2737B600" w14:textId="77777777">
      <w:pPr>
        <w:spacing w:after="0"/>
        <w:rPr>
          <w:rFonts w:ascii="Arial" w:hAnsi="Arial" w:cs="Arial"/>
          <w:b/>
          <w:bCs/>
          <w:color w:val="4F81BD" w:themeColor="accent1"/>
        </w:rPr>
      </w:pPr>
    </w:p>
    <w:p w:rsidRPr="007A6FC3" w:rsidR="007A6FC3" w:rsidP="0026695D" w:rsidRDefault="001C64BC" w14:paraId="5AAFB484" w14:textId="4C2D0EAC">
      <w:pPr>
        <w:spacing w:after="0"/>
        <w:rPr>
          <w:rFonts w:ascii="Arial" w:hAnsi="Arial" w:cs="Arial"/>
          <w:b/>
          <w:bCs/>
          <w:color w:val="4F81BD" w:themeColor="accent1"/>
        </w:rPr>
      </w:pPr>
      <w:r>
        <w:rPr>
          <w:rFonts w:ascii="Arial" w:hAnsi="Arial" w:cs="Arial"/>
          <w:b/>
          <w:bCs/>
          <w:color w:val="4F81BD" w:themeColor="accent1"/>
        </w:rPr>
        <w:t xml:space="preserve">4.3 </w:t>
      </w:r>
      <w:r w:rsidRPr="007A6FC3" w:rsidR="007A6FC3">
        <w:rPr>
          <w:rFonts w:ascii="Arial" w:hAnsi="Arial" w:cs="Arial"/>
          <w:b/>
          <w:bCs/>
          <w:color w:val="4F81BD" w:themeColor="accent1"/>
        </w:rPr>
        <w:t>Clinic</w:t>
      </w:r>
      <w:r w:rsidR="0090584D">
        <w:rPr>
          <w:rFonts w:ascii="Arial" w:hAnsi="Arial" w:cs="Arial"/>
          <w:b/>
          <w:bCs/>
          <w:color w:val="4F81BD" w:themeColor="accent1"/>
        </w:rPr>
        <w:t>a</w:t>
      </w:r>
      <w:r w:rsidRPr="007A6FC3" w:rsidR="007A6FC3">
        <w:rPr>
          <w:rFonts w:ascii="Arial" w:hAnsi="Arial" w:cs="Arial"/>
          <w:b/>
          <w:bCs/>
          <w:color w:val="4F81BD" w:themeColor="accent1"/>
        </w:rPr>
        <w:t xml:space="preserve">l Effectiveness </w:t>
      </w:r>
    </w:p>
    <w:p w:rsidR="002871D9" w:rsidP="007A6FC3" w:rsidRDefault="002871D9" w14:paraId="2C7275DA" w14:textId="51A521CD">
      <w:pPr>
        <w:rPr>
          <w:rFonts w:ascii="Arial" w:hAnsi="Arial" w:cs="Arial"/>
        </w:rPr>
      </w:pPr>
      <w:r w:rsidRPr="6F87A5EE">
        <w:rPr>
          <w:rFonts w:ascii="Arial" w:hAnsi="Arial" w:cs="Arial"/>
        </w:rPr>
        <w:t xml:space="preserve">This criterion </w:t>
      </w:r>
      <w:proofErr w:type="gramStart"/>
      <w:r w:rsidRPr="6F87A5EE">
        <w:rPr>
          <w:rFonts w:ascii="Arial" w:hAnsi="Arial" w:cs="Arial"/>
        </w:rPr>
        <w:t>is only applied</w:t>
      </w:r>
      <w:proofErr w:type="gramEnd"/>
      <w:r w:rsidRPr="6F87A5EE">
        <w:rPr>
          <w:rFonts w:ascii="Arial" w:hAnsi="Arial" w:cs="Arial"/>
        </w:rPr>
        <w:t xml:space="preserve"> where the IFR </w:t>
      </w:r>
      <w:r>
        <w:rPr>
          <w:rFonts w:ascii="Arial" w:hAnsi="Arial" w:cs="Arial"/>
        </w:rPr>
        <w:t>S</w:t>
      </w:r>
      <w:r w:rsidRPr="6F87A5EE">
        <w:rPr>
          <w:rFonts w:ascii="Arial" w:hAnsi="Arial" w:cs="Arial"/>
        </w:rPr>
        <w:t xml:space="preserve">creening </w:t>
      </w:r>
      <w:r>
        <w:rPr>
          <w:rFonts w:ascii="Arial" w:hAnsi="Arial" w:cs="Arial"/>
        </w:rPr>
        <w:t>G</w:t>
      </w:r>
      <w:r w:rsidRPr="6F87A5EE">
        <w:rPr>
          <w:rFonts w:ascii="Arial" w:hAnsi="Arial" w:cs="Arial"/>
        </w:rPr>
        <w:t>roup/Panel has already concluded that the criteri</w:t>
      </w:r>
      <w:r>
        <w:rPr>
          <w:rFonts w:ascii="Arial" w:hAnsi="Arial" w:cs="Arial"/>
        </w:rPr>
        <w:t>on</w:t>
      </w:r>
      <w:r w:rsidRPr="6F87A5EE">
        <w:rPr>
          <w:rFonts w:ascii="Arial" w:hAnsi="Arial" w:cs="Arial"/>
        </w:rPr>
        <w:t xml:space="preserve"> of clinical exceptionality ha</w:t>
      </w:r>
      <w:r>
        <w:rPr>
          <w:rFonts w:ascii="Arial" w:hAnsi="Arial" w:cs="Arial"/>
        </w:rPr>
        <w:t>s</w:t>
      </w:r>
      <w:r w:rsidRPr="6F87A5EE">
        <w:rPr>
          <w:rFonts w:ascii="Arial" w:hAnsi="Arial" w:cs="Arial"/>
        </w:rPr>
        <w:t xml:space="preserve"> been met</w:t>
      </w:r>
      <w:r>
        <w:rPr>
          <w:rFonts w:ascii="Arial" w:hAnsi="Arial" w:cs="Arial"/>
        </w:rPr>
        <w:t xml:space="preserve">. </w:t>
      </w:r>
    </w:p>
    <w:p w:rsidRPr="0062464A" w:rsidR="007A6FC3" w:rsidP="007A6FC3" w:rsidRDefault="007A6FC3" w14:paraId="095BE50A" w14:textId="2E8D33E3">
      <w:pPr>
        <w:rPr>
          <w:rFonts w:ascii="Arial" w:hAnsi="Arial" w:cs="Arial"/>
        </w:rPr>
      </w:pPr>
      <w:r w:rsidRPr="0062464A">
        <w:rPr>
          <w:rFonts w:ascii="Arial" w:hAnsi="Arial" w:cs="Arial"/>
        </w:rPr>
        <w:t>Clinical effectiveness is a measure of the extent to which a treatment achieves pre-defined clinical outcomes in a specific group of patients.</w:t>
      </w:r>
      <w:r w:rsidR="005F5477">
        <w:rPr>
          <w:rFonts w:ascii="Arial" w:hAnsi="Arial" w:cs="Arial"/>
        </w:rPr>
        <w:t xml:space="preserve"> </w:t>
      </w:r>
      <w:r w:rsidR="002871D9">
        <w:rPr>
          <w:rFonts w:ascii="Arial" w:hAnsi="Arial" w:cs="Arial"/>
        </w:rPr>
        <w:br/>
      </w:r>
      <w:r w:rsidRPr="0062464A">
        <w:rPr>
          <w:rFonts w:ascii="Arial" w:hAnsi="Arial" w:cs="Arial"/>
        </w:rPr>
        <w:t>Clinical evidence that considers the efficacy of a particular treatment will be carefully considered by the IFR team</w:t>
      </w:r>
      <w:proofErr w:type="gramStart"/>
      <w:r w:rsidRPr="0062464A">
        <w:rPr>
          <w:rFonts w:ascii="Arial" w:hAnsi="Arial" w:cs="Arial"/>
        </w:rPr>
        <w:t>.</w:t>
      </w:r>
      <w:r w:rsidR="002871D9">
        <w:rPr>
          <w:rFonts w:ascii="Arial" w:hAnsi="Arial" w:cs="Arial"/>
        </w:rPr>
        <w:t xml:space="preserve"> </w:t>
      </w:r>
      <w:r w:rsidRPr="0062464A">
        <w:rPr>
          <w:rFonts w:ascii="Arial" w:hAnsi="Arial" w:cs="Arial"/>
        </w:rPr>
        <w:t xml:space="preserve"> </w:t>
      </w:r>
      <w:proofErr w:type="gramEnd"/>
      <w:r w:rsidRPr="0062464A">
        <w:rPr>
          <w:rFonts w:ascii="Arial" w:hAnsi="Arial" w:cs="Arial"/>
        </w:rPr>
        <w:t>It is the sole responsibility of the referring clinician to provide this information and the IFR team will not be responsible for undertaking any evidence searches.</w:t>
      </w:r>
    </w:p>
    <w:p w:rsidRPr="0062464A" w:rsidR="007A6FC3" w:rsidP="007A6FC3" w:rsidRDefault="007A6FC3" w14:paraId="256E5546" w14:textId="47833F6C">
      <w:pPr>
        <w:rPr>
          <w:rFonts w:ascii="Arial" w:hAnsi="Arial" w:cs="Arial"/>
        </w:rPr>
      </w:pPr>
      <w:r w:rsidRPr="0062464A">
        <w:rPr>
          <w:rFonts w:ascii="Arial" w:hAnsi="Arial" w:cs="Arial"/>
        </w:rPr>
        <w:t xml:space="preserve">Inevitably, the </w:t>
      </w:r>
      <w:r w:rsidRPr="0062464A" w:rsidR="002871D9">
        <w:rPr>
          <w:rFonts w:ascii="Arial" w:hAnsi="Arial" w:cs="Arial"/>
        </w:rPr>
        <w:t>evidence</w:t>
      </w:r>
      <w:r w:rsidRPr="0062464A">
        <w:rPr>
          <w:rFonts w:ascii="Arial" w:hAnsi="Arial" w:cs="Arial"/>
        </w:rPr>
        <w:t xml:space="preserve"> put forward in support of an IFR is unlikely to be as robust as in more common presentations of the condition or the more usual use of the treatment. However, it is important that the referring clinician makes explicit linkages between the grounds under which exceptionality is claimed and the sections of the submitted research literature that are considered to support the clinician's view regarding the differences between the patient's clinical position and that of other patients in the group, and regarding the patient's anticipated response to the requested treatment.</w:t>
      </w:r>
    </w:p>
    <w:p w:rsidRPr="0062464A" w:rsidR="007A6FC3" w:rsidP="007A6FC3" w:rsidRDefault="007A6FC3" w14:paraId="14CA3174" w14:textId="73F3A3FB">
      <w:pPr>
        <w:rPr>
          <w:rFonts w:ascii="Arial" w:hAnsi="Arial" w:cs="Arial"/>
        </w:rPr>
      </w:pPr>
      <w:r w:rsidRPr="6F87A5EE">
        <w:rPr>
          <w:rFonts w:ascii="Arial" w:hAnsi="Arial" w:cs="Arial"/>
        </w:rPr>
        <w:t xml:space="preserve">When considering clinical effectiveness, the IFR </w:t>
      </w:r>
      <w:r w:rsidR="004B4BC8">
        <w:rPr>
          <w:rFonts w:ascii="Arial" w:hAnsi="Arial" w:cs="Arial"/>
        </w:rPr>
        <w:t xml:space="preserve">Screening Group / </w:t>
      </w:r>
      <w:r w:rsidRPr="6F87A5EE">
        <w:rPr>
          <w:rFonts w:ascii="Arial" w:hAnsi="Arial" w:cs="Arial"/>
        </w:rPr>
        <w:t xml:space="preserve">Panel will consider: </w:t>
      </w:r>
    </w:p>
    <w:p w:rsidRPr="007A6FC3" w:rsidR="007A6FC3" w:rsidP="00D87A65" w:rsidRDefault="007A6FC3" w14:paraId="2BD7EC82" w14:textId="77777777">
      <w:pPr>
        <w:pStyle w:val="ListParagraph"/>
        <w:numPr>
          <w:ilvl w:val="0"/>
          <w:numId w:val="15"/>
        </w:numPr>
        <w:rPr>
          <w:rFonts w:ascii="Arial" w:hAnsi="Arial" w:cs="Arial"/>
        </w:rPr>
      </w:pPr>
      <w:r w:rsidRPr="007A6FC3">
        <w:rPr>
          <w:rFonts w:ascii="Arial" w:hAnsi="Arial" w:cs="Arial"/>
        </w:rPr>
        <w:t xml:space="preserve">How closely the patient matches the patient population from whom the results </w:t>
      </w:r>
      <w:proofErr w:type="gramStart"/>
      <w:r w:rsidRPr="007A6FC3">
        <w:rPr>
          <w:rFonts w:ascii="Arial" w:hAnsi="Arial" w:cs="Arial"/>
        </w:rPr>
        <w:t>are derived</w:t>
      </w:r>
      <w:proofErr w:type="gramEnd"/>
      <w:r w:rsidRPr="007A6FC3">
        <w:rPr>
          <w:rFonts w:ascii="Arial" w:hAnsi="Arial" w:cs="Arial"/>
        </w:rPr>
        <w:t xml:space="preserve"> in any study relied on by the clinician. </w:t>
      </w:r>
    </w:p>
    <w:p w:rsidRPr="007A6FC3" w:rsidR="007A6FC3" w:rsidP="00D87A65" w:rsidRDefault="007A6FC3" w14:paraId="15990801" w14:textId="77777777">
      <w:pPr>
        <w:pStyle w:val="ListParagraph"/>
        <w:numPr>
          <w:ilvl w:val="0"/>
          <w:numId w:val="15"/>
        </w:numPr>
        <w:rPr>
          <w:rFonts w:ascii="Arial" w:hAnsi="Arial" w:cs="Arial"/>
        </w:rPr>
      </w:pPr>
      <w:r w:rsidRPr="007A6FC3">
        <w:rPr>
          <w:rFonts w:ascii="Arial" w:hAnsi="Arial" w:cs="Arial"/>
        </w:rPr>
        <w:t xml:space="preserve">The plausibility of the argument that the patient will achieve the anticipated outcomes from treatment, based on the evidence supplied. </w:t>
      </w:r>
    </w:p>
    <w:p w:rsidRPr="007A6FC3" w:rsidR="007A6FC3" w:rsidP="00D87A65" w:rsidRDefault="007A6FC3" w14:paraId="2AD4BA7F" w14:textId="77777777">
      <w:pPr>
        <w:pStyle w:val="ListParagraph"/>
        <w:numPr>
          <w:ilvl w:val="0"/>
          <w:numId w:val="15"/>
        </w:numPr>
        <w:rPr>
          <w:rFonts w:ascii="Arial" w:hAnsi="Arial" w:cs="Arial"/>
        </w:rPr>
      </w:pPr>
      <w:r w:rsidRPr="007A6FC3">
        <w:rPr>
          <w:rFonts w:ascii="Arial" w:hAnsi="Arial" w:cs="Arial"/>
        </w:rPr>
        <w:t>The impact of existing co-morbidities on both the claim for exceptionality and treatment outcome.</w:t>
      </w:r>
    </w:p>
    <w:p w:rsidRPr="007A6FC3" w:rsidR="007A6FC3" w:rsidP="00D87A65" w:rsidRDefault="007A6FC3" w14:paraId="3E037374" w14:textId="77777777">
      <w:pPr>
        <w:pStyle w:val="ListParagraph"/>
        <w:numPr>
          <w:ilvl w:val="0"/>
          <w:numId w:val="15"/>
        </w:numPr>
        <w:rPr>
          <w:rFonts w:ascii="Arial" w:hAnsi="Arial" w:cs="Arial"/>
        </w:rPr>
      </w:pPr>
      <w:r w:rsidRPr="007A6FC3">
        <w:rPr>
          <w:rFonts w:ascii="Arial" w:hAnsi="Arial" w:cs="Arial"/>
        </w:rPr>
        <w:t xml:space="preserve">Any complications and adverse events of the treatment including toxicity and rates of relapse. The panel will take account of side effects when considering the benefits from the treatment. </w:t>
      </w:r>
    </w:p>
    <w:p w:rsidRPr="007A6FC3" w:rsidR="007A6FC3" w:rsidP="00D87A65" w:rsidRDefault="007A6FC3" w14:paraId="2570F066" w14:textId="77777777">
      <w:pPr>
        <w:pStyle w:val="ListParagraph"/>
        <w:numPr>
          <w:ilvl w:val="0"/>
          <w:numId w:val="15"/>
        </w:numPr>
        <w:rPr>
          <w:rFonts w:ascii="Arial" w:hAnsi="Arial" w:cs="Arial"/>
        </w:rPr>
      </w:pPr>
      <w:r w:rsidRPr="007A6FC3">
        <w:rPr>
          <w:rFonts w:ascii="Arial" w:hAnsi="Arial" w:cs="Arial"/>
        </w:rPr>
        <w:t xml:space="preserve">The </w:t>
      </w:r>
      <w:proofErr w:type="gramStart"/>
      <w:r w:rsidRPr="007A6FC3">
        <w:rPr>
          <w:rFonts w:ascii="Arial" w:hAnsi="Arial" w:cs="Arial"/>
        </w:rPr>
        <w:t>likely impact</w:t>
      </w:r>
      <w:proofErr w:type="gramEnd"/>
      <w:r w:rsidRPr="007A6FC3">
        <w:rPr>
          <w:rFonts w:ascii="Arial" w:hAnsi="Arial" w:cs="Arial"/>
        </w:rPr>
        <w:t xml:space="preserve"> of the treatment on quality of life using information as available.</w:t>
      </w:r>
    </w:p>
    <w:p w:rsidRPr="007A6FC3" w:rsidR="007A6FC3" w:rsidP="00D87A65" w:rsidRDefault="007A6FC3" w14:paraId="76D19E10" w14:textId="102FC49A">
      <w:pPr>
        <w:pStyle w:val="ListParagraph"/>
        <w:numPr>
          <w:ilvl w:val="0"/>
          <w:numId w:val="15"/>
        </w:numPr>
        <w:rPr>
          <w:rFonts w:ascii="Arial" w:hAnsi="Arial" w:cs="Arial"/>
        </w:rPr>
      </w:pPr>
      <w:r w:rsidRPr="007A6FC3">
        <w:rPr>
          <w:rFonts w:ascii="Arial" w:hAnsi="Arial" w:cs="Arial"/>
        </w:rPr>
        <w:t xml:space="preserve">Reported treatment outcomes and their durability over the short, medium, and longer term, as relevant to the nature of the condition. The requesting clinician must demonstrate why they consider that the proposed treatment will be effective for the whole period for which it will </w:t>
      </w:r>
      <w:proofErr w:type="gramStart"/>
      <w:r w:rsidRPr="007A6FC3">
        <w:rPr>
          <w:rFonts w:ascii="Arial" w:hAnsi="Arial" w:cs="Arial"/>
        </w:rPr>
        <w:t>be given</w:t>
      </w:r>
      <w:proofErr w:type="gramEnd"/>
      <w:r w:rsidRPr="007A6FC3">
        <w:rPr>
          <w:rFonts w:ascii="Arial" w:hAnsi="Arial" w:cs="Arial"/>
        </w:rPr>
        <w:t>.</w:t>
      </w:r>
    </w:p>
    <w:p w:rsidRPr="007A6FC3" w:rsidR="007A6FC3" w:rsidP="0026695D" w:rsidRDefault="001C64BC" w14:paraId="62A9B04A" w14:textId="6A11E066">
      <w:pPr>
        <w:spacing w:after="0"/>
        <w:rPr>
          <w:rFonts w:ascii="Arial" w:hAnsi="Arial" w:cs="Arial"/>
          <w:b/>
          <w:bCs/>
          <w:color w:val="4F81BD" w:themeColor="accent1"/>
        </w:rPr>
      </w:pPr>
      <w:r>
        <w:rPr>
          <w:rFonts w:ascii="Arial" w:hAnsi="Arial" w:cs="Arial"/>
          <w:b/>
          <w:bCs/>
          <w:color w:val="4F81BD" w:themeColor="accent1"/>
        </w:rPr>
        <w:t xml:space="preserve">4.4 </w:t>
      </w:r>
      <w:r w:rsidRPr="007A6FC3" w:rsidR="007A6FC3">
        <w:rPr>
          <w:rFonts w:ascii="Arial" w:hAnsi="Arial" w:cs="Arial"/>
          <w:b/>
          <w:bCs/>
          <w:color w:val="4F81BD" w:themeColor="accent1"/>
        </w:rPr>
        <w:t>Clinical Effectiveness from Independently Funded</w:t>
      </w:r>
      <w:r w:rsidR="00FA35C1">
        <w:rPr>
          <w:rFonts w:ascii="Arial" w:hAnsi="Arial" w:cs="Arial"/>
          <w:b/>
          <w:bCs/>
          <w:color w:val="4F81BD" w:themeColor="accent1"/>
        </w:rPr>
        <w:t xml:space="preserve"> or Arranged</w:t>
      </w:r>
      <w:r w:rsidRPr="007A6FC3" w:rsidR="007A6FC3">
        <w:rPr>
          <w:rFonts w:ascii="Arial" w:hAnsi="Arial" w:cs="Arial"/>
          <w:b/>
          <w:bCs/>
          <w:color w:val="4F81BD" w:themeColor="accent1"/>
        </w:rPr>
        <w:t xml:space="preserve"> Treatment.</w:t>
      </w:r>
    </w:p>
    <w:p w:rsidRPr="0062464A" w:rsidR="007A6FC3" w:rsidP="007A6FC3" w:rsidRDefault="007A6FC3" w14:paraId="22DCF70D" w14:textId="79F177E1">
      <w:pPr>
        <w:rPr>
          <w:rFonts w:ascii="Arial" w:hAnsi="Arial" w:cs="Arial"/>
        </w:rPr>
      </w:pPr>
      <w:r w:rsidRPr="6F87A5EE">
        <w:rPr>
          <w:rFonts w:ascii="Arial" w:hAnsi="Arial" w:cs="Arial"/>
        </w:rPr>
        <w:t xml:space="preserve">The clinical impact of a period of independently funded or arranged treatment </w:t>
      </w:r>
      <w:proofErr w:type="gramStart"/>
      <w:r w:rsidRPr="6F87A5EE">
        <w:rPr>
          <w:rFonts w:ascii="Arial" w:hAnsi="Arial" w:cs="Arial"/>
        </w:rPr>
        <w:t>is not typically considered</w:t>
      </w:r>
      <w:proofErr w:type="gramEnd"/>
      <w:r w:rsidRPr="6F87A5EE">
        <w:rPr>
          <w:rFonts w:ascii="Arial" w:hAnsi="Arial" w:cs="Arial"/>
        </w:rPr>
        <w:t xml:space="preserve"> in the Individual Funding Request (IFR) process because of the principles and policies governing NHS funding. Here are the key reasons: </w:t>
      </w:r>
    </w:p>
    <w:p w:rsidRPr="007A6FC3" w:rsidR="007A6FC3" w:rsidP="00D87A65" w:rsidRDefault="007A6FC3" w14:paraId="11FE8458" w14:textId="7E5A3166">
      <w:pPr>
        <w:pStyle w:val="ListParagraph"/>
        <w:numPr>
          <w:ilvl w:val="0"/>
          <w:numId w:val="16"/>
        </w:numPr>
        <w:rPr>
          <w:rFonts w:ascii="Arial" w:hAnsi="Arial" w:cs="Arial"/>
        </w:rPr>
      </w:pPr>
      <w:r w:rsidRPr="007A6FC3">
        <w:rPr>
          <w:rFonts w:ascii="Arial" w:hAnsi="Arial" w:cs="Arial"/>
        </w:rPr>
        <w:t xml:space="preserve">Equality of Access: The NHS </w:t>
      </w:r>
      <w:proofErr w:type="gramStart"/>
      <w:r w:rsidRPr="007A6FC3">
        <w:rPr>
          <w:rFonts w:ascii="Arial" w:hAnsi="Arial" w:cs="Arial"/>
        </w:rPr>
        <w:t>is founded</w:t>
      </w:r>
      <w:proofErr w:type="gramEnd"/>
      <w:r w:rsidRPr="007A6FC3">
        <w:rPr>
          <w:rFonts w:ascii="Arial" w:hAnsi="Arial" w:cs="Arial"/>
        </w:rPr>
        <w:t xml:space="preserve"> on the principle of providing equitable access to treatment for all, based on clinical need rather than ability to pay. Considering the outcomes could inadvertently favour those who can afford to pay for or benefit from independently funded care, creating inequities.</w:t>
      </w:r>
    </w:p>
    <w:p w:rsidRPr="007A6FC3" w:rsidR="007A6FC3" w:rsidP="00D87A65" w:rsidRDefault="007A6FC3" w14:paraId="6C27D68B" w14:textId="0DF4391C">
      <w:pPr>
        <w:pStyle w:val="ListParagraph"/>
        <w:numPr>
          <w:ilvl w:val="0"/>
          <w:numId w:val="16"/>
        </w:numPr>
        <w:rPr>
          <w:rFonts w:ascii="Arial" w:hAnsi="Arial" w:cs="Arial"/>
        </w:rPr>
      </w:pPr>
      <w:r w:rsidRPr="007A6FC3">
        <w:rPr>
          <w:rFonts w:ascii="Arial" w:hAnsi="Arial" w:cs="Arial"/>
        </w:rPr>
        <w:t xml:space="preserve">Precedent and Policy: NHS policies </w:t>
      </w:r>
      <w:proofErr w:type="gramStart"/>
      <w:r w:rsidRPr="007A6FC3">
        <w:rPr>
          <w:rFonts w:ascii="Arial" w:hAnsi="Arial" w:cs="Arial"/>
        </w:rPr>
        <w:t>are designed</w:t>
      </w:r>
      <w:proofErr w:type="gramEnd"/>
      <w:r w:rsidRPr="007A6FC3">
        <w:rPr>
          <w:rFonts w:ascii="Arial" w:hAnsi="Arial" w:cs="Arial"/>
        </w:rPr>
        <w:t xml:space="preserve"> to ensure that funding decisions are based on established criteria, such as clinical effectiveness, cost-effectiveness, and evidence-based guidelines.</w:t>
      </w:r>
    </w:p>
    <w:p w:rsidRPr="007A6FC3" w:rsidR="007A6FC3" w:rsidP="00D87A65" w:rsidRDefault="007A6FC3" w14:paraId="4F5E83A3" w14:textId="7FEEB34F">
      <w:pPr>
        <w:pStyle w:val="ListParagraph"/>
        <w:numPr>
          <w:ilvl w:val="0"/>
          <w:numId w:val="16"/>
        </w:numPr>
        <w:rPr>
          <w:rFonts w:ascii="Arial" w:hAnsi="Arial" w:cs="Arial"/>
        </w:rPr>
      </w:pPr>
      <w:r w:rsidRPr="007A6FC3">
        <w:rPr>
          <w:rFonts w:ascii="Arial" w:hAnsi="Arial" w:cs="Arial"/>
        </w:rPr>
        <w:t xml:space="preserve">Evidence Base: The IFR process focuses on the evidence of clinical and cost-effectiveness for the requested treatment as it applies to NHS patients in general. </w:t>
      </w:r>
    </w:p>
    <w:p w:rsidRPr="007A6FC3" w:rsidR="007A6FC3" w:rsidP="00D87A65" w:rsidRDefault="007A6FC3" w14:paraId="77ECE8D7" w14:textId="768C0955">
      <w:pPr>
        <w:pStyle w:val="ListParagraph"/>
        <w:numPr>
          <w:ilvl w:val="0"/>
          <w:numId w:val="16"/>
        </w:numPr>
        <w:rPr>
          <w:rFonts w:ascii="Arial" w:hAnsi="Arial" w:cs="Arial"/>
        </w:rPr>
      </w:pPr>
      <w:r w:rsidRPr="007A6FC3">
        <w:rPr>
          <w:rFonts w:ascii="Arial" w:hAnsi="Arial" w:cs="Arial"/>
        </w:rPr>
        <w:t xml:space="preserve">Funding Rules: The IFR process </w:t>
      </w:r>
      <w:proofErr w:type="gramStart"/>
      <w:r w:rsidRPr="007A6FC3">
        <w:rPr>
          <w:rFonts w:ascii="Arial" w:hAnsi="Arial" w:cs="Arial"/>
        </w:rPr>
        <w:t>is intended</w:t>
      </w:r>
      <w:proofErr w:type="gramEnd"/>
      <w:r w:rsidRPr="007A6FC3">
        <w:rPr>
          <w:rFonts w:ascii="Arial" w:hAnsi="Arial" w:cs="Arial"/>
        </w:rPr>
        <w:t xml:space="preserve"> to evaluate requests for treatments that are not routinely commissioned, based on the clinical exceptionality of the patient. A trial of treatment does not necessarily establish exceptionality unless there is </w:t>
      </w:r>
      <w:proofErr w:type="gramStart"/>
      <w:r w:rsidRPr="007A6FC3">
        <w:rPr>
          <w:rFonts w:ascii="Arial" w:hAnsi="Arial" w:cs="Arial"/>
        </w:rPr>
        <w:t>clear evidence</w:t>
      </w:r>
      <w:proofErr w:type="gramEnd"/>
      <w:r w:rsidRPr="007A6FC3">
        <w:rPr>
          <w:rFonts w:ascii="Arial" w:hAnsi="Arial" w:cs="Arial"/>
        </w:rPr>
        <w:t xml:space="preserve"> that the patient’s clinical situation significantly differs from others in the same cohort.</w:t>
      </w:r>
    </w:p>
    <w:p w:rsidRPr="007A6FC3" w:rsidR="007A6FC3" w:rsidP="00D87A65" w:rsidRDefault="007A6FC3" w14:paraId="56AD7E22" w14:textId="12C42DD2">
      <w:pPr>
        <w:pStyle w:val="ListParagraph"/>
        <w:numPr>
          <w:ilvl w:val="0"/>
          <w:numId w:val="16"/>
        </w:numPr>
        <w:rPr>
          <w:rFonts w:ascii="Arial" w:hAnsi="Arial" w:cs="Arial"/>
        </w:rPr>
      </w:pPr>
      <w:r w:rsidRPr="007A6FC3">
        <w:rPr>
          <w:rFonts w:ascii="Arial" w:hAnsi="Arial" w:cs="Arial"/>
        </w:rPr>
        <w:t xml:space="preserve">Risk of Bias: If a trial of treatment outcomes were </w:t>
      </w:r>
      <w:proofErr w:type="gramStart"/>
      <w:r w:rsidRPr="007A6FC3">
        <w:rPr>
          <w:rFonts w:ascii="Arial" w:hAnsi="Arial" w:cs="Arial"/>
        </w:rPr>
        <w:t>taken into account</w:t>
      </w:r>
      <w:proofErr w:type="gramEnd"/>
      <w:r w:rsidRPr="007A6FC3">
        <w:rPr>
          <w:rFonts w:ascii="Arial" w:hAnsi="Arial" w:cs="Arial"/>
        </w:rPr>
        <w:t>, it could introduce bias in funding decisions, favouring those who have had an opportunity to demonstrate benefit through a trial. This could distort the impartiality of the NHS funding process.</w:t>
      </w:r>
    </w:p>
    <w:p w:rsidRPr="007A6FC3" w:rsidR="007A6FC3" w:rsidP="00D87A65" w:rsidRDefault="007A6FC3" w14:paraId="58CCCC45" w14:textId="0A008B73">
      <w:pPr>
        <w:pStyle w:val="ListParagraph"/>
        <w:numPr>
          <w:ilvl w:val="0"/>
          <w:numId w:val="16"/>
        </w:numPr>
        <w:rPr>
          <w:rFonts w:ascii="Arial" w:hAnsi="Arial" w:cs="Arial"/>
        </w:rPr>
      </w:pPr>
      <w:r w:rsidRPr="007A6FC3">
        <w:rPr>
          <w:rFonts w:ascii="Arial" w:hAnsi="Arial" w:cs="Arial"/>
        </w:rPr>
        <w:t>Sustainability of NHS Resources: NHS commissioners must consider the sustainability of resources. Making funding decisions based on independently funded treatment outcomes might lead to additional financial pressures on the NHS, as more patients could adopt this approach to influence funding decisions.</w:t>
      </w:r>
    </w:p>
    <w:p w:rsidRPr="0062464A" w:rsidR="007A6FC3" w:rsidP="007A6FC3" w:rsidRDefault="007A6FC3" w14:paraId="125A12E7" w14:textId="12BD9912">
      <w:pPr>
        <w:rPr>
          <w:rFonts w:ascii="Arial" w:hAnsi="Arial" w:cs="Arial"/>
        </w:rPr>
      </w:pPr>
      <w:r w:rsidRPr="0062464A">
        <w:rPr>
          <w:rFonts w:ascii="Arial" w:hAnsi="Arial" w:cs="Arial"/>
        </w:rPr>
        <w:t xml:space="preserve">In conclusion, while the clinical impact of independently </w:t>
      </w:r>
      <w:r w:rsidR="00FA35C1">
        <w:rPr>
          <w:rFonts w:ascii="Arial" w:hAnsi="Arial" w:cs="Arial"/>
        </w:rPr>
        <w:t>arranged</w:t>
      </w:r>
      <w:r w:rsidRPr="0062464A">
        <w:rPr>
          <w:rFonts w:ascii="Arial" w:hAnsi="Arial" w:cs="Arial"/>
        </w:rPr>
        <w:t xml:space="preserve"> treatment may be relevant to an individual patient, </w:t>
      </w:r>
      <w:r w:rsidR="00CE3541">
        <w:rPr>
          <w:rFonts w:ascii="Arial" w:hAnsi="Arial" w:cs="Arial"/>
        </w:rPr>
        <w:t>Central East ICB</w:t>
      </w:r>
      <w:r w:rsidRPr="0062464A">
        <w:rPr>
          <w:rFonts w:ascii="Arial" w:hAnsi="Arial" w:cs="Arial"/>
        </w:rPr>
        <w:t xml:space="preserve"> adhere to consistent, equitable, and evidence-based policies to ensure fairness and sustainability in their funding decisions.</w:t>
      </w:r>
      <w:r w:rsidR="004271D0">
        <w:rPr>
          <w:rFonts w:ascii="Arial" w:hAnsi="Arial" w:cs="Arial"/>
        </w:rPr>
        <w:br/>
      </w:r>
      <w:r w:rsidRPr="0062464A">
        <w:rPr>
          <w:rFonts w:ascii="Arial" w:hAnsi="Arial" w:cs="Arial"/>
        </w:rPr>
        <w:br/>
      </w:r>
      <w:r w:rsidR="001C64BC">
        <w:rPr>
          <w:rFonts w:ascii="Arial" w:hAnsi="Arial" w:cs="Arial"/>
          <w:b/>
          <w:bCs/>
          <w:color w:val="4F81BD" w:themeColor="accent1"/>
        </w:rPr>
        <w:t xml:space="preserve">4.5 </w:t>
      </w:r>
      <w:r w:rsidRPr="007A6FC3">
        <w:rPr>
          <w:rFonts w:ascii="Arial" w:hAnsi="Arial" w:cs="Arial"/>
          <w:b/>
          <w:bCs/>
          <w:color w:val="4F81BD" w:themeColor="accent1"/>
        </w:rPr>
        <w:t>Good Use of NHS Resources</w:t>
      </w:r>
      <w:r w:rsidR="00E545F4">
        <w:rPr>
          <w:rFonts w:ascii="Arial" w:hAnsi="Arial" w:cs="Arial"/>
          <w:b/>
          <w:bCs/>
          <w:color w:val="4F81BD" w:themeColor="accent1"/>
        </w:rPr>
        <w:br/>
      </w:r>
      <w:r w:rsidRPr="0062464A">
        <w:rPr>
          <w:rFonts w:ascii="Arial" w:hAnsi="Arial" w:cs="Arial"/>
        </w:rPr>
        <w:t>The requesting clinician will be expected to explain why they consider the treatment</w:t>
      </w:r>
      <w:r w:rsidR="000F4A20">
        <w:rPr>
          <w:rFonts w:ascii="Arial" w:hAnsi="Arial" w:cs="Arial"/>
        </w:rPr>
        <w:t>,</w:t>
      </w:r>
      <w:r w:rsidRPr="0062464A">
        <w:rPr>
          <w:rFonts w:ascii="Arial" w:hAnsi="Arial" w:cs="Arial"/>
        </w:rPr>
        <w:t xml:space="preserve"> for which funding has been applied for</w:t>
      </w:r>
      <w:r w:rsidR="000F4A20">
        <w:rPr>
          <w:rFonts w:ascii="Arial" w:hAnsi="Arial" w:cs="Arial"/>
        </w:rPr>
        <w:t>,</w:t>
      </w:r>
      <w:r w:rsidRPr="0062464A">
        <w:rPr>
          <w:rFonts w:ascii="Arial" w:hAnsi="Arial" w:cs="Arial"/>
        </w:rPr>
        <w:t xml:space="preserve"> will be a good use of NHS resources.</w:t>
      </w:r>
    </w:p>
    <w:p w:rsidRPr="0062464A" w:rsidR="007A6FC3" w:rsidP="007A6FC3" w:rsidRDefault="007A6FC3" w14:paraId="2493DC98" w14:textId="023586C4">
      <w:pPr>
        <w:rPr>
          <w:rFonts w:ascii="Arial" w:hAnsi="Arial" w:cs="Arial"/>
        </w:rPr>
      </w:pPr>
      <w:r w:rsidRPr="6F87A5EE">
        <w:rPr>
          <w:rFonts w:ascii="Arial" w:hAnsi="Arial" w:cs="Arial"/>
        </w:rPr>
        <w:t xml:space="preserve">This criterion </w:t>
      </w:r>
      <w:proofErr w:type="gramStart"/>
      <w:r w:rsidRPr="6F87A5EE">
        <w:rPr>
          <w:rFonts w:ascii="Arial" w:hAnsi="Arial" w:cs="Arial"/>
        </w:rPr>
        <w:t>is only applied</w:t>
      </w:r>
      <w:proofErr w:type="gramEnd"/>
      <w:r w:rsidRPr="6F87A5EE">
        <w:rPr>
          <w:rFonts w:ascii="Arial" w:hAnsi="Arial" w:cs="Arial"/>
        </w:rPr>
        <w:t xml:space="preserve"> where the IFR </w:t>
      </w:r>
      <w:r w:rsidR="004B4BC8">
        <w:rPr>
          <w:rFonts w:ascii="Arial" w:hAnsi="Arial" w:cs="Arial"/>
        </w:rPr>
        <w:t>S</w:t>
      </w:r>
      <w:r w:rsidRPr="6F87A5EE">
        <w:rPr>
          <w:rFonts w:ascii="Arial" w:hAnsi="Arial" w:cs="Arial"/>
        </w:rPr>
        <w:t xml:space="preserve">creening </w:t>
      </w:r>
      <w:r w:rsidR="004B4BC8">
        <w:rPr>
          <w:rFonts w:ascii="Arial" w:hAnsi="Arial" w:cs="Arial"/>
        </w:rPr>
        <w:t>G</w:t>
      </w:r>
      <w:r w:rsidRPr="6F87A5EE">
        <w:rPr>
          <w:rFonts w:ascii="Arial" w:hAnsi="Arial" w:cs="Arial"/>
        </w:rPr>
        <w:t xml:space="preserve">roup/Panel has already concluded that the criteria of clinical exceptionality and clinical effectiveness have been met. Against this criterion the IFR </w:t>
      </w:r>
      <w:r w:rsidR="00273596">
        <w:rPr>
          <w:rFonts w:ascii="Arial" w:hAnsi="Arial" w:cs="Arial"/>
        </w:rPr>
        <w:t>P</w:t>
      </w:r>
      <w:r w:rsidR="00185715">
        <w:rPr>
          <w:rFonts w:ascii="Arial" w:hAnsi="Arial" w:cs="Arial"/>
        </w:rPr>
        <w:t>anel</w:t>
      </w:r>
      <w:r w:rsidRPr="6F87A5EE">
        <w:rPr>
          <w:rFonts w:ascii="Arial" w:hAnsi="Arial" w:cs="Arial"/>
        </w:rPr>
        <w:t xml:space="preserve"> balances the degree of benefit likely to </w:t>
      </w:r>
      <w:proofErr w:type="gramStart"/>
      <w:r w:rsidRPr="6F87A5EE">
        <w:rPr>
          <w:rFonts w:ascii="Arial" w:hAnsi="Arial" w:cs="Arial"/>
        </w:rPr>
        <w:t>be obtained</w:t>
      </w:r>
      <w:proofErr w:type="gramEnd"/>
      <w:r w:rsidRPr="6F87A5EE">
        <w:rPr>
          <w:rFonts w:ascii="Arial" w:hAnsi="Arial" w:cs="Arial"/>
        </w:rPr>
        <w:t xml:space="preserve"> for the patient from funding the treatment against cost.</w:t>
      </w:r>
    </w:p>
    <w:p w:rsidRPr="0062464A" w:rsidR="007A6FC3" w:rsidP="007A6FC3" w:rsidRDefault="007A6FC3" w14:paraId="5782814B" w14:textId="640E6A43">
      <w:pPr>
        <w:rPr>
          <w:rFonts w:ascii="Arial" w:hAnsi="Arial" w:cs="Arial"/>
        </w:rPr>
      </w:pPr>
      <w:r w:rsidRPr="6F87A5EE">
        <w:rPr>
          <w:rFonts w:ascii="Arial" w:hAnsi="Arial" w:cs="Arial"/>
        </w:rPr>
        <w:t xml:space="preserve">Having regard to the evidence submitted and the analysis they have carried out when considering clinical exceptionality and clinical effectiveness, the IFR </w:t>
      </w:r>
      <w:r w:rsidR="00273596">
        <w:rPr>
          <w:rFonts w:ascii="Arial" w:hAnsi="Arial" w:cs="Arial"/>
        </w:rPr>
        <w:t xml:space="preserve">Panel </w:t>
      </w:r>
      <w:r w:rsidRPr="6F87A5EE">
        <w:rPr>
          <w:rFonts w:ascii="Arial" w:hAnsi="Arial" w:cs="Arial"/>
        </w:rPr>
        <w:t xml:space="preserve">will consider the nature and extent of the benefit the patient is likely to gain from the treatment, the certainty or otherwise of the anticipated outcome from the treatment and the opportunity costs for funding the treatment. This means considering, for example, how significant a benefit is likely to </w:t>
      </w:r>
      <w:proofErr w:type="gramStart"/>
      <w:r w:rsidRPr="6F87A5EE">
        <w:rPr>
          <w:rFonts w:ascii="Arial" w:hAnsi="Arial" w:cs="Arial"/>
        </w:rPr>
        <w:t>be gained</w:t>
      </w:r>
      <w:proofErr w:type="gramEnd"/>
      <w:r w:rsidRPr="6F87A5EE">
        <w:rPr>
          <w:rFonts w:ascii="Arial" w:hAnsi="Arial" w:cs="Arial"/>
        </w:rPr>
        <w:t xml:space="preserve"> for the patient, and for how long that benefit will last. These factors need to be balanced against the cost of the treatment and the impact on other patients of withdrawing funding from other areas </w:t>
      </w:r>
      <w:proofErr w:type="gramStart"/>
      <w:r w:rsidRPr="6F87A5EE">
        <w:rPr>
          <w:rFonts w:ascii="Arial" w:hAnsi="Arial" w:cs="Arial"/>
        </w:rPr>
        <w:t>in order to</w:t>
      </w:r>
      <w:proofErr w:type="gramEnd"/>
      <w:r w:rsidRPr="6F87A5EE">
        <w:rPr>
          <w:rFonts w:ascii="Arial" w:hAnsi="Arial" w:cs="Arial"/>
        </w:rPr>
        <w:t xml:space="preserve"> fulfil the IFR. </w:t>
      </w:r>
    </w:p>
    <w:p w:rsidR="00756A53" w:rsidP="00756A53" w:rsidRDefault="007A6FC3" w14:paraId="42C78649" w14:textId="759AD61F">
      <w:pPr>
        <w:rPr>
          <w:rFonts w:ascii="Arial" w:hAnsi="Arial" w:cs="Arial"/>
        </w:rPr>
      </w:pPr>
      <w:r w:rsidRPr="0062464A">
        <w:rPr>
          <w:rFonts w:ascii="Arial" w:hAnsi="Arial" w:cs="Arial"/>
        </w:rPr>
        <w:t>When determining whether a treatment would be a good use of NHS resources it is very important to consider the length of time for which funding of a treatment is being requested, in relation to the duration of the evidenced efficacy of the treatment i.e., whether the clinical evidence indicates short-, medium-, or long-term effectiveness of a particular treatment.</w:t>
      </w:r>
      <w:r w:rsidR="00E31A54">
        <w:rPr>
          <w:rFonts w:ascii="Arial" w:hAnsi="Arial" w:cs="Arial"/>
        </w:rPr>
        <w:t xml:space="preserve"> </w:t>
      </w:r>
      <w:r w:rsidRPr="6F87A5EE">
        <w:rPr>
          <w:rFonts w:ascii="Arial" w:hAnsi="Arial" w:cs="Arial"/>
        </w:rPr>
        <w:t xml:space="preserve">Due to the nature of the cases considered by the IFR team, the degree to which effectiveness can be considered certain is likely to be limited, and this will be a relevant factor when considering whether funding would be </w:t>
      </w:r>
      <w:proofErr w:type="gramStart"/>
      <w:r w:rsidRPr="6F87A5EE">
        <w:rPr>
          <w:rFonts w:ascii="Arial" w:hAnsi="Arial" w:cs="Arial"/>
        </w:rPr>
        <w:t>a good use</w:t>
      </w:r>
      <w:proofErr w:type="gramEnd"/>
      <w:r w:rsidRPr="6F87A5EE">
        <w:rPr>
          <w:rFonts w:ascii="Arial" w:hAnsi="Arial" w:cs="Arial"/>
        </w:rPr>
        <w:t xml:space="preserve"> of NHS resources. However, the IFR </w:t>
      </w:r>
      <w:r w:rsidR="00573915">
        <w:rPr>
          <w:rFonts w:ascii="Arial" w:hAnsi="Arial" w:cs="Arial"/>
        </w:rPr>
        <w:t xml:space="preserve">Panel </w:t>
      </w:r>
      <w:r w:rsidRPr="6F87A5EE">
        <w:rPr>
          <w:rFonts w:ascii="Arial" w:hAnsi="Arial" w:cs="Arial"/>
        </w:rPr>
        <w:t xml:space="preserve">should also </w:t>
      </w:r>
      <w:proofErr w:type="gramStart"/>
      <w:r w:rsidRPr="6F87A5EE">
        <w:rPr>
          <w:rFonts w:ascii="Arial" w:hAnsi="Arial" w:cs="Arial"/>
        </w:rPr>
        <w:t>take into account</w:t>
      </w:r>
      <w:proofErr w:type="gramEnd"/>
      <w:r w:rsidRPr="6F87A5EE">
        <w:rPr>
          <w:rFonts w:ascii="Arial" w:hAnsi="Arial" w:cs="Arial"/>
        </w:rPr>
        <w:t xml:space="preserve"> its ability to impose conditions on any funding it agrees, for example to monitor the impact of the funded treatment. In applying this criterion, the IFR </w:t>
      </w:r>
      <w:r w:rsidR="00573915">
        <w:rPr>
          <w:rFonts w:ascii="Arial" w:hAnsi="Arial" w:cs="Arial"/>
        </w:rPr>
        <w:t>Panel</w:t>
      </w:r>
      <w:r w:rsidRPr="6F87A5EE">
        <w:rPr>
          <w:rFonts w:ascii="Arial" w:hAnsi="Arial" w:cs="Arial"/>
        </w:rPr>
        <w:t xml:space="preserve"> will draw upon their professional and analytical skills and knowledge of the NHS system and how it works.</w:t>
      </w:r>
    </w:p>
    <w:p w:rsidRPr="00BA49BF" w:rsidR="00756A53" w:rsidP="00756A53" w:rsidRDefault="00074005" w14:paraId="317C5128" w14:textId="02DBC0AF">
      <w:pPr>
        <w:rPr>
          <w:rFonts w:ascii="Arial" w:hAnsi="Arial" w:cs="Arial"/>
          <w:b/>
          <w:bCs/>
          <w:color w:val="4F81BD" w:themeColor="accent1"/>
        </w:rPr>
      </w:pPr>
      <w:r>
        <w:rPr>
          <w:rFonts w:ascii="Arial" w:hAnsi="Arial" w:cs="Arial"/>
          <w:b/>
          <w:bCs/>
          <w:color w:val="4F81BD" w:themeColor="accent1"/>
        </w:rPr>
        <w:t>4.</w:t>
      </w:r>
      <w:r w:rsidR="004271D0">
        <w:rPr>
          <w:rFonts w:ascii="Arial" w:hAnsi="Arial" w:cs="Arial"/>
          <w:b/>
          <w:bCs/>
          <w:color w:val="4F81BD" w:themeColor="accent1"/>
        </w:rPr>
        <w:t>6</w:t>
      </w:r>
      <w:r>
        <w:rPr>
          <w:rFonts w:ascii="Arial" w:hAnsi="Arial" w:cs="Arial"/>
          <w:b/>
          <w:bCs/>
          <w:color w:val="4F81BD" w:themeColor="accent1"/>
        </w:rPr>
        <w:t xml:space="preserve"> </w:t>
      </w:r>
      <w:r w:rsidRPr="007A6FC3" w:rsidR="00756A53">
        <w:rPr>
          <w:rFonts w:ascii="Arial" w:hAnsi="Arial" w:cs="Arial"/>
          <w:b/>
          <w:bCs/>
          <w:color w:val="4F81BD" w:themeColor="accent1"/>
        </w:rPr>
        <w:t>Business Cases for Service Development</w:t>
      </w:r>
      <w:r w:rsidR="00BA49BF">
        <w:rPr>
          <w:rFonts w:ascii="Arial" w:hAnsi="Arial" w:cs="Arial"/>
          <w:b/>
          <w:bCs/>
          <w:color w:val="4F81BD" w:themeColor="accent1"/>
        </w:rPr>
        <w:br/>
      </w:r>
      <w:r w:rsidR="00E545F4">
        <w:rPr>
          <w:rFonts w:ascii="Arial" w:hAnsi="Arial" w:cs="Arial"/>
          <w:b/>
          <w:bCs/>
          <w:color w:val="4F81BD" w:themeColor="accent1"/>
        </w:rPr>
        <w:br/>
      </w:r>
      <w:r w:rsidRPr="0062464A" w:rsidR="00756A53">
        <w:rPr>
          <w:rFonts w:ascii="Arial" w:hAnsi="Arial" w:cs="Arial"/>
        </w:rPr>
        <w:t xml:space="preserve">Individual requests cannot be used as a means of ‘creeping implementation’ for </w:t>
      </w:r>
      <w:proofErr w:type="gramStart"/>
      <w:r w:rsidRPr="0062464A" w:rsidR="00756A53">
        <w:rPr>
          <w:rFonts w:ascii="Arial" w:hAnsi="Arial" w:cs="Arial"/>
        </w:rPr>
        <w:t>new technologies</w:t>
      </w:r>
      <w:proofErr w:type="gramEnd"/>
      <w:r w:rsidRPr="0062464A" w:rsidR="00756A53">
        <w:rPr>
          <w:rFonts w:ascii="Arial" w:hAnsi="Arial" w:cs="Arial"/>
        </w:rPr>
        <w:t xml:space="preserve">, services, or policies. Therefore, consideration needs to </w:t>
      </w:r>
      <w:proofErr w:type="gramStart"/>
      <w:r w:rsidRPr="0062464A" w:rsidR="00756A53">
        <w:rPr>
          <w:rFonts w:ascii="Arial" w:hAnsi="Arial" w:cs="Arial"/>
        </w:rPr>
        <w:t>be given</w:t>
      </w:r>
      <w:proofErr w:type="gramEnd"/>
      <w:r w:rsidRPr="0062464A" w:rsidR="00756A53">
        <w:rPr>
          <w:rFonts w:ascii="Arial" w:hAnsi="Arial" w:cs="Arial"/>
        </w:rPr>
        <w:t xml:space="preserve"> as to the likelihood of other patients </w:t>
      </w:r>
      <w:r w:rsidR="0090584D">
        <w:rPr>
          <w:rFonts w:ascii="Arial" w:hAnsi="Arial" w:cs="Arial"/>
        </w:rPr>
        <w:t>in the C</w:t>
      </w:r>
      <w:r w:rsidR="0001036D">
        <w:rPr>
          <w:rFonts w:ascii="Arial" w:hAnsi="Arial" w:cs="Arial"/>
        </w:rPr>
        <w:t>entral East</w:t>
      </w:r>
      <w:r w:rsidR="0090584D">
        <w:rPr>
          <w:rFonts w:ascii="Arial" w:hAnsi="Arial" w:cs="Arial"/>
        </w:rPr>
        <w:t xml:space="preserve"> ICB area</w:t>
      </w:r>
      <w:r w:rsidRPr="0062464A" w:rsidR="00756A53">
        <w:rPr>
          <w:rFonts w:ascii="Arial" w:hAnsi="Arial" w:cs="Arial"/>
        </w:rPr>
        <w:t xml:space="preserve"> having the same clinical need who could also benefit from the proposed treatment. If there is likely to be a defined group of patients in similar clinical circumstances to that patient, the application will </w:t>
      </w:r>
      <w:proofErr w:type="gramStart"/>
      <w:r w:rsidRPr="0062464A" w:rsidR="00756A53">
        <w:rPr>
          <w:rFonts w:ascii="Arial" w:hAnsi="Arial" w:cs="Arial"/>
        </w:rPr>
        <w:t>be classified</w:t>
      </w:r>
      <w:proofErr w:type="gramEnd"/>
      <w:r w:rsidRPr="0062464A" w:rsidR="00756A53">
        <w:rPr>
          <w:rFonts w:ascii="Arial" w:hAnsi="Arial" w:cs="Arial"/>
        </w:rPr>
        <w:t xml:space="preserve"> as a request for development of a new policy or service specification. Applicants </w:t>
      </w:r>
      <w:r w:rsidR="00DA3FDD">
        <w:rPr>
          <w:rFonts w:ascii="Arial" w:hAnsi="Arial" w:cs="Arial"/>
        </w:rPr>
        <w:t>will be</w:t>
      </w:r>
      <w:r w:rsidRPr="0062464A" w:rsidR="00756A53">
        <w:rPr>
          <w:rFonts w:ascii="Arial" w:hAnsi="Arial" w:cs="Arial"/>
        </w:rPr>
        <w:t xml:space="preserve"> advised to </w:t>
      </w:r>
      <w:proofErr w:type="gramStart"/>
      <w:r w:rsidRPr="0062464A" w:rsidR="00756A53">
        <w:rPr>
          <w:rFonts w:ascii="Arial" w:hAnsi="Arial" w:cs="Arial"/>
        </w:rPr>
        <w:t>liaise</w:t>
      </w:r>
      <w:proofErr w:type="gramEnd"/>
      <w:r w:rsidRPr="0062464A" w:rsidR="00756A53">
        <w:rPr>
          <w:rFonts w:ascii="Arial" w:hAnsi="Arial" w:cs="Arial"/>
        </w:rPr>
        <w:t xml:space="preserve"> with their Trust Medical Director or Chief Pharmacist to develop a business case which should be submitted via usual agreed processes e.g., commissioning managers or for drug related submissions, via </w:t>
      </w:r>
      <w:r w:rsidR="00EF4142">
        <w:rPr>
          <w:rFonts w:ascii="Arial" w:hAnsi="Arial" w:cs="Arial"/>
        </w:rPr>
        <w:t>APC</w:t>
      </w:r>
      <w:r w:rsidRPr="0062464A" w:rsidR="00756A53">
        <w:rPr>
          <w:rFonts w:ascii="Arial" w:hAnsi="Arial" w:cs="Arial"/>
        </w:rPr>
        <w:t xml:space="preserve"> and not through IFR. The patient group must wait until a </w:t>
      </w:r>
      <w:r w:rsidRPr="00EF4142" w:rsidR="00756A53">
        <w:rPr>
          <w:rFonts w:ascii="Arial" w:hAnsi="Arial" w:cs="Arial"/>
        </w:rPr>
        <w:t>policy/APC guidance/service</w:t>
      </w:r>
      <w:r w:rsidRPr="0062464A" w:rsidR="00756A53">
        <w:rPr>
          <w:rFonts w:ascii="Arial" w:hAnsi="Arial" w:cs="Arial"/>
        </w:rPr>
        <w:t xml:space="preserve"> development </w:t>
      </w:r>
      <w:proofErr w:type="gramStart"/>
      <w:r w:rsidRPr="0062464A" w:rsidR="00756A53">
        <w:rPr>
          <w:rFonts w:ascii="Arial" w:hAnsi="Arial" w:cs="Arial"/>
        </w:rPr>
        <w:t>is approved</w:t>
      </w:r>
      <w:proofErr w:type="gramEnd"/>
      <w:r w:rsidRPr="0062464A" w:rsidR="00756A53">
        <w:rPr>
          <w:rFonts w:ascii="Arial" w:hAnsi="Arial" w:cs="Arial"/>
        </w:rPr>
        <w:t xml:space="preserve">. However, in the extremely rare circumstance that the clinical situation of one or more patients within the eligible patient group is so urgent that it would not be appropriate to wait for a decision to be made through the full service development process (i.e. the patient(s) are at risk of imminent significant and irreversible clinical deterioration), or that significant risks have been identified, the IFR panel will inform the </w:t>
      </w:r>
      <w:r w:rsidRPr="00E8670B" w:rsidR="00923A5E">
        <w:rPr>
          <w:rFonts w:ascii="Arial" w:hAnsi="Arial" w:cs="Arial"/>
        </w:rPr>
        <w:t>Utilisation Management Programme Board</w:t>
      </w:r>
      <w:r w:rsidRPr="00E8670B" w:rsidR="00756A53">
        <w:rPr>
          <w:rFonts w:ascii="Arial" w:hAnsi="Arial" w:cs="Arial"/>
        </w:rPr>
        <w:t>,</w:t>
      </w:r>
      <w:r w:rsidRPr="0062464A" w:rsidR="00756A53">
        <w:rPr>
          <w:rFonts w:ascii="Arial" w:hAnsi="Arial" w:cs="Arial"/>
        </w:rPr>
        <w:t xml:space="preserve"> Clinical Policy Group and/or Area Prescribing Committee so that they may consider introducing the proposed service development on an interim basis.  </w:t>
      </w:r>
    </w:p>
    <w:p w:rsidR="00074005" w:rsidP="00756A53" w:rsidRDefault="004271D0" w14:paraId="3A8BE7B9" w14:textId="437BBE95">
      <w:pPr>
        <w:rPr>
          <w:rFonts w:ascii="Arial" w:hAnsi="Arial" w:cs="Arial"/>
        </w:rPr>
      </w:pPr>
      <w:r w:rsidRPr="6F87A5EE">
        <w:rPr>
          <w:rFonts w:ascii="Arial" w:hAnsi="Arial" w:cs="Arial"/>
          <w:b/>
          <w:bCs/>
          <w:color w:val="4F81BD" w:themeColor="accent1"/>
        </w:rPr>
        <w:t xml:space="preserve">4.7 </w:t>
      </w:r>
      <w:r w:rsidRPr="6F87A5EE" w:rsidR="00074005">
        <w:rPr>
          <w:rFonts w:ascii="Arial" w:hAnsi="Arial" w:cs="Arial"/>
          <w:b/>
          <w:bCs/>
          <w:color w:val="4F81BD" w:themeColor="accent1"/>
        </w:rPr>
        <w:t>Funding Duration</w:t>
      </w:r>
      <w:r w:rsidR="00BA49BF">
        <w:rPr>
          <w:rFonts w:ascii="Arial" w:hAnsi="Arial" w:cs="Arial"/>
          <w:b/>
          <w:bCs/>
          <w:color w:val="4F81BD" w:themeColor="accent1"/>
        </w:rPr>
        <w:br/>
      </w:r>
      <w:r>
        <w:br/>
      </w:r>
      <w:r w:rsidRPr="6F87A5EE" w:rsidR="00074005">
        <w:rPr>
          <w:rFonts w:ascii="Arial" w:hAnsi="Arial" w:cs="Arial"/>
        </w:rPr>
        <w:t xml:space="preserve">Unless otherwise stated funding is valid for 12 months from the date of the approval and whilst the patient remains registered with a GP within the Central East ICB area. This general rule is in line with NHS England guidance Who Pays? (2020). The </w:t>
      </w:r>
      <w:r w:rsidR="00A4045B">
        <w:rPr>
          <w:rFonts w:ascii="Arial" w:hAnsi="Arial" w:cs="Arial"/>
        </w:rPr>
        <w:t xml:space="preserve">IFR </w:t>
      </w:r>
      <w:r w:rsidRPr="6F87A5EE" w:rsidR="00074005">
        <w:rPr>
          <w:rFonts w:ascii="Arial" w:hAnsi="Arial" w:cs="Arial"/>
        </w:rPr>
        <w:t xml:space="preserve">Panel will confirm where indicated the timescales and clinical information required for review to confirm efficacy, safety, and tolerance to treatment. Where funding for treatment </w:t>
      </w:r>
      <w:proofErr w:type="gramStart"/>
      <w:r w:rsidRPr="6F87A5EE" w:rsidR="00074005">
        <w:rPr>
          <w:rFonts w:ascii="Arial" w:hAnsi="Arial" w:cs="Arial"/>
        </w:rPr>
        <w:t>is approved</w:t>
      </w:r>
      <w:proofErr w:type="gramEnd"/>
      <w:r w:rsidRPr="6F87A5EE" w:rsidR="00074005">
        <w:rPr>
          <w:rFonts w:ascii="Arial" w:hAnsi="Arial" w:cs="Arial"/>
        </w:rPr>
        <w:t xml:space="preserve">, treatment must commence within 12 months (usually within 6months) of the date of approval. Clinicians will need to submit a new IFR application if treatments </w:t>
      </w:r>
      <w:proofErr w:type="gramStart"/>
      <w:r w:rsidRPr="6F87A5EE" w:rsidR="00074005">
        <w:rPr>
          <w:rFonts w:ascii="Arial" w:hAnsi="Arial" w:cs="Arial"/>
        </w:rPr>
        <w:t>are not started</w:t>
      </w:r>
      <w:proofErr w:type="gramEnd"/>
      <w:r w:rsidRPr="6F87A5EE" w:rsidR="00074005">
        <w:rPr>
          <w:rFonts w:ascii="Arial" w:hAnsi="Arial" w:cs="Arial"/>
        </w:rPr>
        <w:t xml:space="preserve"> within this time limit.</w:t>
      </w:r>
    </w:p>
    <w:p w:rsidR="00756A53" w:rsidP="00756A53" w:rsidRDefault="005F2634" w14:paraId="4ADA084F" w14:textId="7D4B3F22">
      <w:pPr>
        <w:rPr>
          <w:rFonts w:ascii="Arial" w:hAnsi="Arial" w:cs="Arial"/>
        </w:rPr>
      </w:pPr>
      <w:r w:rsidRPr="6F87A5EE">
        <w:rPr>
          <w:rFonts w:ascii="Arial" w:hAnsi="Arial" w:cs="Arial"/>
          <w:b/>
          <w:bCs/>
          <w:color w:val="4F81BD" w:themeColor="accent1"/>
        </w:rPr>
        <w:t xml:space="preserve">4.8 </w:t>
      </w:r>
      <w:r w:rsidRPr="6F87A5EE" w:rsidR="00756A53">
        <w:rPr>
          <w:rFonts w:ascii="Arial" w:hAnsi="Arial" w:cs="Arial"/>
          <w:b/>
          <w:bCs/>
          <w:color w:val="4F81BD" w:themeColor="accent1"/>
        </w:rPr>
        <w:t>Decisions Inherited from Other Commissioners e.g., patients who move.</w:t>
      </w:r>
      <w:r w:rsidR="00BA49BF">
        <w:rPr>
          <w:rFonts w:ascii="Arial" w:hAnsi="Arial" w:cs="Arial"/>
          <w:b/>
          <w:bCs/>
          <w:color w:val="4F81BD" w:themeColor="accent1"/>
        </w:rPr>
        <w:br/>
      </w:r>
      <w:r>
        <w:br/>
      </w:r>
      <w:r w:rsidRPr="6F87A5EE" w:rsidR="00756A53">
        <w:rPr>
          <w:rFonts w:ascii="Arial" w:hAnsi="Arial" w:cs="Arial"/>
        </w:rPr>
        <w:t xml:space="preserve">Occasionally patients move into the area and become the responsibility of </w:t>
      </w:r>
      <w:r w:rsidRPr="6F87A5EE" w:rsidR="002B4A23">
        <w:rPr>
          <w:rFonts w:ascii="Arial" w:hAnsi="Arial" w:cs="Arial"/>
        </w:rPr>
        <w:t>Central East</w:t>
      </w:r>
      <w:r w:rsidRPr="6F87A5EE" w:rsidR="00756A53">
        <w:rPr>
          <w:rFonts w:ascii="Arial" w:hAnsi="Arial" w:cs="Arial"/>
        </w:rPr>
        <w:t xml:space="preserve"> ICB (by registering with a GP in </w:t>
      </w:r>
      <w:r w:rsidRPr="6F87A5EE" w:rsidR="002B4A23">
        <w:rPr>
          <w:rFonts w:ascii="Arial" w:hAnsi="Arial" w:cs="Arial"/>
        </w:rPr>
        <w:t>this area</w:t>
      </w:r>
      <w:r w:rsidRPr="6F87A5EE" w:rsidR="00756A53">
        <w:rPr>
          <w:rFonts w:ascii="Arial" w:hAnsi="Arial" w:cs="Arial"/>
        </w:rPr>
        <w:t>) when a package of care or treatment option has already been approved by the ICB that was previously responsible for the patient’s care. The ICB’s policy is that, subject to resource constraints, it will normally agree to continue the treatment providing the care pathway has been initiated by a responsible NHS clinician and the requested treatment remains clinically appropriate and effective</w:t>
      </w:r>
      <w:proofErr w:type="gramStart"/>
      <w:r w:rsidRPr="6F87A5EE" w:rsidR="00756A53">
        <w:rPr>
          <w:rFonts w:ascii="Arial" w:hAnsi="Arial" w:cs="Arial"/>
        </w:rPr>
        <w:t xml:space="preserve">.  </w:t>
      </w:r>
      <w:proofErr w:type="gramEnd"/>
      <w:r w:rsidRPr="6F87A5EE" w:rsidR="00756A53">
        <w:rPr>
          <w:rFonts w:ascii="Arial" w:hAnsi="Arial" w:cs="Arial"/>
        </w:rPr>
        <w:t>The ICB retains the right to ask for a clinical review of treatment and confirmation of ongoing benefit to support ongoing funding</w:t>
      </w:r>
      <w:proofErr w:type="gramStart"/>
      <w:r w:rsidRPr="6F87A5EE" w:rsidR="00756A53">
        <w:rPr>
          <w:rFonts w:ascii="Arial" w:hAnsi="Arial" w:cs="Arial"/>
        </w:rPr>
        <w:t xml:space="preserve">.  </w:t>
      </w:r>
      <w:proofErr w:type="gramEnd"/>
    </w:p>
    <w:p w:rsidRPr="005F04F4" w:rsidR="005F04F4" w:rsidP="005F04F4" w:rsidRDefault="005F04F4" w14:paraId="78584A40" w14:textId="50B11480">
      <w:pPr>
        <w:rPr>
          <w:rFonts w:ascii="Arial" w:hAnsi="Arial" w:cs="Arial"/>
          <w:b w:val="1"/>
          <w:bCs w:val="1"/>
          <w:lang w:val="en-GB"/>
        </w:rPr>
      </w:pPr>
      <w:bookmarkStart w:name="_Toc67928730" w:id="1"/>
      <w:bookmarkStart w:name="_Toc112077903" w:id="2"/>
      <w:bookmarkStart w:name="_Toc112079454" w:id="3"/>
      <w:bookmarkStart w:name="_Toc182212733" w:id="4"/>
      <w:r w:rsidRPr="4CA4F3CC" w:rsidR="005F04F4">
        <w:rPr>
          <w:rFonts w:ascii="Arial" w:hAnsi="Arial" w:cs="Arial"/>
          <w:b w:val="1"/>
          <w:bCs w:val="1"/>
          <w:color w:val="4F81BD" w:themeColor="accent1" w:themeTint="FF" w:themeShade="FF"/>
          <w:lang w:val="en-GB"/>
        </w:rPr>
        <w:t>4.9 One-Off Referrals to Non-Contracted Providers</w:t>
      </w:r>
      <w:bookmarkStart w:name="_Hlk173929152" w:id="5"/>
      <w:bookmarkEnd w:id="1"/>
      <w:bookmarkEnd w:id="2"/>
      <w:bookmarkEnd w:id="3"/>
      <w:bookmarkEnd w:id="4"/>
      <w:r>
        <w:br/>
      </w:r>
      <w:r>
        <w:br/>
      </w:r>
      <w:r w:rsidRPr="4CA4F3CC" w:rsidR="005F04F4">
        <w:rPr>
          <w:rFonts w:ascii="Arial" w:hAnsi="Arial" w:cs="Arial"/>
          <w:lang w:val="en-GB"/>
        </w:rPr>
        <w:t xml:space="preserve">When an IFR relates to treatment to be provided by a non-contracted Provider including independent sector Providers not routinely commissioned by the ICB and all the criteria for funding are met, the ICB will require assurance of the quality and safety of the service Provider from the requesting clinician before the request can be approved. </w:t>
      </w:r>
    </w:p>
    <w:p w:rsidR="4CA4F3CC" w:rsidP="4CA4F3CC" w:rsidRDefault="4CA4F3CC" w14:paraId="3EAAD142" w14:textId="033C7846">
      <w:pPr>
        <w:rPr>
          <w:rFonts w:ascii="Arial" w:hAnsi="Arial" w:cs="Arial"/>
          <w:lang w:val="en-GB"/>
        </w:rPr>
      </w:pPr>
    </w:p>
    <w:p w:rsidRPr="006848D2" w:rsidR="006848D2" w:rsidP="006848D2" w:rsidRDefault="005F2634" w14:paraId="08A9D429" w14:textId="39F698F0">
      <w:pPr>
        <w:rPr>
          <w:rFonts w:ascii="Arial" w:hAnsi="Arial" w:cs="Arial"/>
        </w:rPr>
      </w:pPr>
      <w:bookmarkStart w:name="_Hlk216182480" w:id="6"/>
      <w:bookmarkEnd w:id="5"/>
      <w:r>
        <w:rPr>
          <w:rFonts w:ascii="Arial" w:hAnsi="Arial" w:cs="Arial"/>
          <w:b/>
          <w:bCs/>
          <w:color w:val="4F81BD" w:themeColor="accent1"/>
        </w:rPr>
        <w:t>4.</w:t>
      </w:r>
      <w:r w:rsidR="005F04F4">
        <w:rPr>
          <w:rFonts w:ascii="Arial" w:hAnsi="Arial" w:cs="Arial"/>
          <w:b/>
          <w:bCs/>
          <w:color w:val="4F81BD" w:themeColor="accent1"/>
        </w:rPr>
        <w:t>10</w:t>
      </w:r>
      <w:r>
        <w:rPr>
          <w:rFonts w:ascii="Arial" w:hAnsi="Arial" w:cs="Arial"/>
          <w:b/>
          <w:bCs/>
          <w:color w:val="4F81BD" w:themeColor="accent1"/>
        </w:rPr>
        <w:t xml:space="preserve"> </w:t>
      </w:r>
      <w:r w:rsidRPr="002B4A23" w:rsidR="00756A53">
        <w:rPr>
          <w:rFonts w:ascii="Arial" w:hAnsi="Arial" w:cs="Arial"/>
          <w:b/>
          <w:bCs/>
          <w:color w:val="4F81BD" w:themeColor="accent1"/>
        </w:rPr>
        <w:t>Personal Health Budgets &amp; Equipment</w:t>
      </w:r>
      <w:r w:rsidRPr="002B4A23" w:rsidR="00756A53">
        <w:rPr>
          <w:rFonts w:ascii="Arial" w:hAnsi="Arial" w:cs="Arial"/>
          <w:b/>
          <w:bCs/>
          <w:color w:val="4F81BD" w:themeColor="accent1"/>
        </w:rPr>
        <w:br/>
      </w:r>
      <w:r w:rsidRPr="006848D2" w:rsidR="006848D2">
        <w:rPr>
          <w:rFonts w:ascii="Arial" w:hAnsi="Arial" w:cs="Arial"/>
        </w:rPr>
        <w:t>The</w:t>
      </w:r>
      <w:r w:rsidR="006848D2">
        <w:rPr>
          <w:rFonts w:ascii="Arial" w:hAnsi="Arial" w:cs="Arial"/>
          <w:b/>
          <w:bCs/>
        </w:rPr>
        <w:t xml:space="preserve"> </w:t>
      </w:r>
      <w:r w:rsidRPr="006848D2" w:rsidR="006848D2">
        <w:rPr>
          <w:rFonts w:ascii="Arial" w:hAnsi="Arial" w:cs="Arial"/>
        </w:rPr>
        <w:t>IFR</w:t>
      </w:r>
      <w:r w:rsidR="006848D2">
        <w:rPr>
          <w:rFonts w:ascii="Arial" w:hAnsi="Arial" w:cs="Arial"/>
        </w:rPr>
        <w:t xml:space="preserve"> service</w:t>
      </w:r>
      <w:r w:rsidRPr="006848D2" w:rsidR="006848D2">
        <w:rPr>
          <w:rFonts w:ascii="Arial" w:hAnsi="Arial" w:cs="Arial"/>
        </w:rPr>
        <w:t xml:space="preserve"> does not routinely fund </w:t>
      </w:r>
      <w:r w:rsidRPr="006848D2" w:rsidR="008076D6">
        <w:rPr>
          <w:rFonts w:ascii="Arial" w:hAnsi="Arial" w:cs="Arial"/>
        </w:rPr>
        <w:t>equipment</w:t>
      </w:r>
      <w:r w:rsidRPr="006848D2" w:rsidR="006848D2">
        <w:rPr>
          <w:rFonts w:ascii="Arial" w:hAnsi="Arial" w:cs="Arial"/>
        </w:rPr>
        <w:t xml:space="preserve"> or placements in long term care. Personal Health Budget</w:t>
      </w:r>
      <w:r w:rsidR="006848D2">
        <w:rPr>
          <w:rFonts w:ascii="Arial" w:hAnsi="Arial" w:cs="Arial"/>
        </w:rPr>
        <w:t>s</w:t>
      </w:r>
      <w:r w:rsidRPr="006848D2" w:rsidR="006848D2">
        <w:rPr>
          <w:rFonts w:ascii="Arial" w:hAnsi="Arial" w:cs="Arial"/>
        </w:rPr>
        <w:t xml:space="preserve"> and voucher schemes may be available through other pathways such as All Age Continuing Care, Complex Care, Section </w:t>
      </w:r>
      <w:proofErr w:type="gramStart"/>
      <w:r w:rsidRPr="006848D2" w:rsidR="006848D2">
        <w:rPr>
          <w:rFonts w:ascii="Arial" w:hAnsi="Arial" w:cs="Arial"/>
        </w:rPr>
        <w:t>117</w:t>
      </w:r>
      <w:proofErr w:type="gramEnd"/>
      <w:r w:rsidRPr="006848D2" w:rsidR="006848D2">
        <w:rPr>
          <w:rFonts w:ascii="Arial" w:hAnsi="Arial" w:cs="Arial"/>
        </w:rPr>
        <w:t xml:space="preserve"> or Personal Wheelchair Budgets (PWB). </w:t>
      </w:r>
      <w:proofErr w:type="gramStart"/>
      <w:r w:rsidR="006848D2">
        <w:rPr>
          <w:rFonts w:ascii="Arial" w:hAnsi="Arial" w:cs="Arial"/>
        </w:rPr>
        <w:t>Some</w:t>
      </w:r>
      <w:proofErr w:type="gramEnd"/>
      <w:r w:rsidR="006848D2">
        <w:rPr>
          <w:rFonts w:ascii="Arial" w:hAnsi="Arial" w:cs="Arial"/>
        </w:rPr>
        <w:t xml:space="preserve"> p</w:t>
      </w:r>
      <w:r w:rsidRPr="006848D2" w:rsidR="006848D2">
        <w:rPr>
          <w:rFonts w:ascii="Arial" w:hAnsi="Arial" w:cs="Arial"/>
        </w:rPr>
        <w:t xml:space="preserve">atients </w:t>
      </w:r>
      <w:r w:rsidR="006E455A">
        <w:rPr>
          <w:rFonts w:ascii="Arial" w:hAnsi="Arial" w:cs="Arial"/>
        </w:rPr>
        <w:t>may be</w:t>
      </w:r>
      <w:r w:rsidRPr="006848D2" w:rsidR="006848D2">
        <w:rPr>
          <w:rFonts w:ascii="Arial" w:hAnsi="Arial" w:cs="Arial"/>
        </w:rPr>
        <w:t xml:space="preserve"> offered a trial of equipment within NHS services</w:t>
      </w:r>
      <w:r w:rsidR="006E455A">
        <w:rPr>
          <w:rFonts w:ascii="Arial" w:hAnsi="Arial" w:cs="Arial"/>
        </w:rPr>
        <w:t xml:space="preserve"> which results in positive outcomes and demonstratable benefit. However, this alone does not entitle patients to Individual Funding. A</w:t>
      </w:r>
      <w:r w:rsidRPr="006848D2" w:rsidR="006E455A">
        <w:rPr>
          <w:rFonts w:ascii="Arial" w:hAnsi="Arial" w:cs="Arial"/>
        </w:rPr>
        <w:t xml:space="preserve">s there will be </w:t>
      </w:r>
      <w:proofErr w:type="gramStart"/>
      <w:r w:rsidRPr="006848D2" w:rsidR="006E455A">
        <w:rPr>
          <w:rFonts w:ascii="Arial" w:hAnsi="Arial" w:cs="Arial"/>
        </w:rPr>
        <w:t>several</w:t>
      </w:r>
      <w:proofErr w:type="gramEnd"/>
      <w:r w:rsidRPr="006848D2" w:rsidR="006E455A">
        <w:rPr>
          <w:rFonts w:ascii="Arial" w:hAnsi="Arial" w:cs="Arial"/>
        </w:rPr>
        <w:t xml:space="preserve"> patients in broadly the same clinical circumstances</w:t>
      </w:r>
      <w:r w:rsidR="006E455A">
        <w:rPr>
          <w:rFonts w:ascii="Arial" w:hAnsi="Arial" w:cs="Arial"/>
        </w:rPr>
        <w:t>, a</w:t>
      </w:r>
      <w:r w:rsidRPr="006848D2" w:rsidR="006848D2">
        <w:rPr>
          <w:rFonts w:ascii="Arial" w:hAnsi="Arial" w:cs="Arial"/>
        </w:rPr>
        <w:t xml:space="preserve"> business case should be developed</w:t>
      </w:r>
      <w:r w:rsidR="006E455A">
        <w:rPr>
          <w:rFonts w:ascii="Arial" w:hAnsi="Arial" w:cs="Arial"/>
        </w:rPr>
        <w:t xml:space="preserve">. Equipment should </w:t>
      </w:r>
      <w:r w:rsidRPr="006848D2" w:rsidR="006E455A">
        <w:rPr>
          <w:rFonts w:ascii="Arial" w:hAnsi="Arial" w:cs="Arial"/>
        </w:rPr>
        <w:t xml:space="preserve">either </w:t>
      </w:r>
      <w:proofErr w:type="gramStart"/>
      <w:r w:rsidR="006E455A">
        <w:rPr>
          <w:rFonts w:ascii="Arial" w:hAnsi="Arial" w:cs="Arial"/>
        </w:rPr>
        <w:t xml:space="preserve">be </w:t>
      </w:r>
      <w:r w:rsidRPr="006848D2" w:rsidR="006E455A">
        <w:rPr>
          <w:rFonts w:ascii="Arial" w:hAnsi="Arial" w:cs="Arial"/>
        </w:rPr>
        <w:t>provided</w:t>
      </w:r>
      <w:proofErr w:type="gramEnd"/>
      <w:r w:rsidR="006E455A">
        <w:rPr>
          <w:rFonts w:ascii="Arial" w:hAnsi="Arial" w:cs="Arial"/>
        </w:rPr>
        <w:t xml:space="preserve"> routinely within the service contract arrangements </w:t>
      </w:r>
      <w:r w:rsidRPr="006848D2" w:rsidR="006E455A">
        <w:rPr>
          <w:rFonts w:ascii="Arial" w:hAnsi="Arial" w:cs="Arial"/>
        </w:rPr>
        <w:t>or not provided</w:t>
      </w:r>
      <w:r w:rsidR="006E455A">
        <w:rPr>
          <w:rFonts w:ascii="Arial" w:hAnsi="Arial" w:cs="Arial"/>
        </w:rPr>
        <w:t xml:space="preserve"> equally to all.</w:t>
      </w:r>
      <w:r w:rsidRPr="006E455A" w:rsidR="006E455A">
        <w:rPr>
          <w:rFonts w:ascii="Arial" w:hAnsi="Arial" w:cs="Arial"/>
        </w:rPr>
        <w:t xml:space="preserve"> </w:t>
      </w:r>
      <w:r w:rsidRPr="006848D2" w:rsidR="006E455A">
        <w:rPr>
          <w:rFonts w:ascii="Arial" w:hAnsi="Arial" w:cs="Arial"/>
        </w:rPr>
        <w:t xml:space="preserve">IFRs should only </w:t>
      </w:r>
      <w:proofErr w:type="gramStart"/>
      <w:r w:rsidRPr="006848D2" w:rsidR="006E455A">
        <w:rPr>
          <w:rFonts w:ascii="Arial" w:hAnsi="Arial" w:cs="Arial"/>
        </w:rPr>
        <w:t>be submitted</w:t>
      </w:r>
      <w:proofErr w:type="gramEnd"/>
      <w:r w:rsidRPr="006848D2" w:rsidR="006E455A">
        <w:rPr>
          <w:rFonts w:ascii="Arial" w:hAnsi="Arial" w:cs="Arial"/>
        </w:rPr>
        <w:t xml:space="preserve"> for patients where it can be demonstrated that </w:t>
      </w:r>
      <w:r w:rsidR="006E455A">
        <w:rPr>
          <w:rFonts w:ascii="Arial" w:hAnsi="Arial" w:cs="Arial"/>
        </w:rPr>
        <w:t>all</w:t>
      </w:r>
      <w:r w:rsidRPr="006848D2" w:rsidR="006E455A">
        <w:rPr>
          <w:rFonts w:ascii="Arial" w:hAnsi="Arial" w:cs="Arial"/>
        </w:rPr>
        <w:t xml:space="preserve"> criteria of this IFR policy are met. </w:t>
      </w:r>
      <w:r w:rsidRPr="006848D2" w:rsidR="006848D2">
        <w:rPr>
          <w:rFonts w:ascii="Arial" w:hAnsi="Arial" w:cs="Arial"/>
        </w:rPr>
        <w:t xml:space="preserve">Should a request for equipment </w:t>
      </w:r>
      <w:proofErr w:type="gramStart"/>
      <w:r w:rsidRPr="006848D2" w:rsidR="006848D2">
        <w:rPr>
          <w:rFonts w:ascii="Arial" w:hAnsi="Arial" w:cs="Arial"/>
        </w:rPr>
        <w:t>be submitted</w:t>
      </w:r>
      <w:proofErr w:type="gramEnd"/>
      <w:r w:rsidRPr="006848D2" w:rsidR="006848D2">
        <w:rPr>
          <w:rFonts w:ascii="Arial" w:hAnsi="Arial" w:cs="Arial"/>
        </w:rPr>
        <w:t>, it must be clear which NHS service will ‘own’ the equipment, keep an asset log, arrange service and maintenance, and what arrangement would be in place to pay suppliers.</w:t>
      </w:r>
    </w:p>
    <w:bookmarkEnd w:id="6"/>
    <w:p w:rsidRPr="0062464A" w:rsidR="00756A53" w:rsidP="00756A53" w:rsidRDefault="005F2634" w14:paraId="532C2DFA" w14:textId="3990E581">
      <w:pPr>
        <w:rPr>
          <w:rFonts w:ascii="Arial" w:hAnsi="Arial" w:cs="Arial"/>
        </w:rPr>
      </w:pPr>
      <w:r w:rsidRPr="6F87A5EE">
        <w:rPr>
          <w:rFonts w:ascii="Arial" w:hAnsi="Arial" w:cs="Arial"/>
          <w:b/>
          <w:bCs/>
          <w:color w:val="4F81BD" w:themeColor="accent1"/>
        </w:rPr>
        <w:t>4.1</w:t>
      </w:r>
      <w:r w:rsidRPr="6F87A5EE" w:rsidR="005F04F4">
        <w:rPr>
          <w:rFonts w:ascii="Arial" w:hAnsi="Arial" w:cs="Arial"/>
          <w:b/>
          <w:bCs/>
          <w:color w:val="4F81BD" w:themeColor="accent1"/>
        </w:rPr>
        <w:t>1</w:t>
      </w:r>
      <w:r w:rsidRPr="6F87A5EE">
        <w:rPr>
          <w:rFonts w:ascii="Arial" w:hAnsi="Arial" w:cs="Arial"/>
          <w:b/>
          <w:bCs/>
          <w:color w:val="4F81BD" w:themeColor="accent1"/>
        </w:rPr>
        <w:t xml:space="preserve"> </w:t>
      </w:r>
      <w:r w:rsidRPr="6F87A5EE" w:rsidR="00756A53">
        <w:rPr>
          <w:rFonts w:ascii="Arial" w:hAnsi="Arial" w:cs="Arial"/>
          <w:b/>
          <w:bCs/>
          <w:color w:val="4F81BD" w:themeColor="accent1"/>
        </w:rPr>
        <w:t xml:space="preserve">Specialised Treatments </w:t>
      </w:r>
      <w:r>
        <w:br/>
      </w:r>
      <w:r w:rsidRPr="6F87A5EE" w:rsidR="00756A53">
        <w:rPr>
          <w:rFonts w:ascii="Arial" w:hAnsi="Arial" w:cs="Arial"/>
        </w:rPr>
        <w:t>It is important that when a patient reaches a stage in their treatment pathway that requires a specialis</w:t>
      </w:r>
      <w:r w:rsidRPr="6F87A5EE" w:rsidR="00544AA3">
        <w:rPr>
          <w:rFonts w:ascii="Arial" w:hAnsi="Arial" w:cs="Arial"/>
        </w:rPr>
        <w:t>ed</w:t>
      </w:r>
      <w:r w:rsidRPr="6F87A5EE" w:rsidR="00756A53">
        <w:rPr>
          <w:rFonts w:ascii="Arial" w:hAnsi="Arial" w:cs="Arial"/>
        </w:rPr>
        <w:t xml:space="preserve"> intervention, </w:t>
      </w:r>
      <w:r w:rsidR="009B557E">
        <w:rPr>
          <w:rFonts w:ascii="Arial" w:hAnsi="Arial" w:cs="Arial"/>
        </w:rPr>
        <w:t xml:space="preserve">the </w:t>
      </w:r>
      <w:r w:rsidRPr="6F87A5EE" w:rsidR="6A8D25AE">
        <w:rPr>
          <w:rFonts w:ascii="Arial" w:hAnsi="Arial" w:cs="Arial"/>
        </w:rPr>
        <w:t xml:space="preserve">patient should </w:t>
      </w:r>
      <w:proofErr w:type="gramStart"/>
      <w:r w:rsidRPr="6F87A5EE" w:rsidR="6A8D25AE">
        <w:rPr>
          <w:rFonts w:ascii="Arial" w:hAnsi="Arial" w:cs="Arial"/>
        </w:rPr>
        <w:t>be referred</w:t>
      </w:r>
      <w:proofErr w:type="gramEnd"/>
      <w:r w:rsidRPr="6F87A5EE" w:rsidR="6A8D25AE">
        <w:rPr>
          <w:rFonts w:ascii="Arial" w:hAnsi="Arial" w:cs="Arial"/>
        </w:rPr>
        <w:t xml:space="preserve"> to </w:t>
      </w:r>
      <w:r w:rsidRPr="6F87A5EE" w:rsidR="00756A53">
        <w:rPr>
          <w:rFonts w:ascii="Arial" w:hAnsi="Arial" w:cs="Arial"/>
        </w:rPr>
        <w:t xml:space="preserve">an officially designated, accredited centre (usually commissioned by NHSE) to ensure a high quality of care. </w:t>
      </w:r>
      <w:r w:rsidRPr="6F87A5EE">
        <w:rPr>
          <w:rFonts w:ascii="Arial" w:hAnsi="Arial" w:cs="Arial"/>
        </w:rPr>
        <w:t>Central East</w:t>
      </w:r>
      <w:r w:rsidRPr="6F87A5EE" w:rsidR="00756A53">
        <w:rPr>
          <w:rFonts w:ascii="Arial" w:hAnsi="Arial" w:cs="Arial"/>
        </w:rPr>
        <w:t xml:space="preserve"> ICB will not support specialised treatment at</w:t>
      </w:r>
      <w:r w:rsidRPr="6F87A5EE" w:rsidR="00544AA3">
        <w:rPr>
          <w:rFonts w:ascii="Arial" w:hAnsi="Arial" w:cs="Arial"/>
        </w:rPr>
        <w:t xml:space="preserve"> undesignated centers not commissioned to undertake specialised activity.</w:t>
      </w:r>
      <w:r w:rsidRPr="6F87A5EE" w:rsidR="00756A53">
        <w:rPr>
          <w:rFonts w:ascii="Arial" w:hAnsi="Arial" w:cs="Arial"/>
        </w:rPr>
        <w:t xml:space="preserve"> </w:t>
      </w:r>
    </w:p>
    <w:p w:rsidRPr="00074005" w:rsidR="00756A53" w:rsidP="0026695D" w:rsidRDefault="005F2634" w14:paraId="60ECA2EA" w14:textId="7822D0F4">
      <w:pPr>
        <w:spacing w:after="0"/>
        <w:rPr>
          <w:rFonts w:ascii="Arial" w:hAnsi="Arial" w:cs="Arial"/>
          <w:b/>
          <w:bCs/>
          <w:color w:val="4F81BD" w:themeColor="accent1"/>
        </w:rPr>
      </w:pPr>
      <w:r>
        <w:rPr>
          <w:rFonts w:ascii="Arial" w:hAnsi="Arial" w:cs="Arial"/>
          <w:b/>
          <w:bCs/>
          <w:color w:val="4F81BD" w:themeColor="accent1"/>
        </w:rPr>
        <w:t>4.1</w:t>
      </w:r>
      <w:r w:rsidR="005F04F4">
        <w:rPr>
          <w:rFonts w:ascii="Arial" w:hAnsi="Arial" w:cs="Arial"/>
          <w:b/>
          <w:bCs/>
          <w:color w:val="4F81BD" w:themeColor="accent1"/>
        </w:rPr>
        <w:t>2</w:t>
      </w:r>
      <w:r>
        <w:rPr>
          <w:rFonts w:ascii="Arial" w:hAnsi="Arial" w:cs="Arial"/>
          <w:b/>
          <w:bCs/>
          <w:color w:val="4F81BD" w:themeColor="accent1"/>
        </w:rPr>
        <w:t xml:space="preserve"> </w:t>
      </w:r>
      <w:r w:rsidRPr="00074005" w:rsidR="00074005">
        <w:rPr>
          <w:rFonts w:ascii="Arial" w:hAnsi="Arial" w:cs="Arial"/>
          <w:b/>
          <w:bCs/>
          <w:color w:val="4F81BD" w:themeColor="accent1"/>
        </w:rPr>
        <w:t>Experimental Treatments and Clinical Trials</w:t>
      </w:r>
    </w:p>
    <w:p w:rsidRPr="0062464A" w:rsidR="00074005" w:rsidP="00074005" w:rsidRDefault="00074005" w14:paraId="452D0BA6" w14:textId="77777777">
      <w:pPr>
        <w:rPr>
          <w:rFonts w:ascii="Arial" w:hAnsi="Arial" w:cs="Arial"/>
        </w:rPr>
      </w:pPr>
      <w:r w:rsidRPr="0062464A">
        <w:rPr>
          <w:rFonts w:ascii="Arial" w:hAnsi="Arial" w:cs="Arial"/>
        </w:rPr>
        <w:t xml:space="preserve">It is standard practice for ICBs not to fund treatments which </w:t>
      </w:r>
      <w:proofErr w:type="gramStart"/>
      <w:r w:rsidRPr="0062464A">
        <w:rPr>
          <w:rFonts w:ascii="Arial" w:hAnsi="Arial" w:cs="Arial"/>
        </w:rPr>
        <w:t>are still considered</w:t>
      </w:r>
      <w:proofErr w:type="gramEnd"/>
      <w:r w:rsidRPr="0062464A">
        <w:rPr>
          <w:rFonts w:ascii="Arial" w:hAnsi="Arial" w:cs="Arial"/>
        </w:rPr>
        <w:t xml:space="preserve"> experimental, irrespective of the ‘potential’ health benefit for either individuals or groups of patients. Therefore, treatments which </w:t>
      </w:r>
      <w:proofErr w:type="gramStart"/>
      <w:r w:rsidRPr="0062464A">
        <w:rPr>
          <w:rFonts w:ascii="Arial" w:hAnsi="Arial" w:cs="Arial"/>
        </w:rPr>
        <w:t>are judged</w:t>
      </w:r>
      <w:proofErr w:type="gramEnd"/>
      <w:r w:rsidRPr="0062464A">
        <w:rPr>
          <w:rFonts w:ascii="Arial" w:hAnsi="Arial" w:cs="Arial"/>
        </w:rPr>
        <w:t xml:space="preserve"> experimental, uncertain, or not to be of proven effectiveness will not routinely be commissioned and funding for individual patients or groups of patients within poorly designed trials will not be supported. </w:t>
      </w:r>
    </w:p>
    <w:p w:rsidRPr="0062464A" w:rsidR="00074005" w:rsidP="00074005" w:rsidRDefault="00074005" w14:paraId="6C24B013" w14:textId="7034AB73">
      <w:pPr>
        <w:rPr>
          <w:rFonts w:ascii="Arial" w:hAnsi="Arial" w:cs="Arial"/>
        </w:rPr>
      </w:pPr>
      <w:r>
        <w:rPr>
          <w:rFonts w:ascii="Arial" w:hAnsi="Arial" w:cs="Arial"/>
        </w:rPr>
        <w:t>The</w:t>
      </w:r>
      <w:r w:rsidRPr="0062464A">
        <w:rPr>
          <w:rFonts w:ascii="Arial" w:hAnsi="Arial" w:cs="Arial"/>
        </w:rPr>
        <w:t xml:space="preserve"> IFR team will adopt the following criteria when considering a treatment as experimental:</w:t>
      </w:r>
    </w:p>
    <w:p w:rsidRPr="00E545F4" w:rsidR="00074005" w:rsidP="00D87A65" w:rsidRDefault="00074005" w14:paraId="5683C1C3" w14:textId="77777777">
      <w:pPr>
        <w:pStyle w:val="ListParagraph"/>
        <w:numPr>
          <w:ilvl w:val="0"/>
          <w:numId w:val="17"/>
        </w:numPr>
        <w:rPr>
          <w:rFonts w:ascii="Arial" w:hAnsi="Arial" w:cs="Arial"/>
        </w:rPr>
      </w:pPr>
      <w:r w:rsidRPr="00E545F4">
        <w:rPr>
          <w:rFonts w:ascii="Arial" w:hAnsi="Arial" w:cs="Arial"/>
        </w:rPr>
        <w:t>The treatment is still undergoing clinical trials for the indication in question.</w:t>
      </w:r>
    </w:p>
    <w:p w:rsidRPr="00E545F4" w:rsidR="00074005" w:rsidP="00D87A65" w:rsidRDefault="00074005" w14:paraId="17AD2F3B" w14:textId="77777777">
      <w:pPr>
        <w:pStyle w:val="ListParagraph"/>
        <w:numPr>
          <w:ilvl w:val="0"/>
          <w:numId w:val="17"/>
        </w:numPr>
        <w:rPr>
          <w:rFonts w:ascii="Arial" w:hAnsi="Arial" w:cs="Arial"/>
        </w:rPr>
      </w:pPr>
      <w:r w:rsidRPr="00E545F4">
        <w:rPr>
          <w:rFonts w:ascii="Arial" w:hAnsi="Arial" w:cs="Arial"/>
        </w:rPr>
        <w:t>There are no relevant articles published in the peer-reviewed journals available on the treatment for the indication in question.</w:t>
      </w:r>
    </w:p>
    <w:p w:rsidRPr="00E545F4" w:rsidR="00074005" w:rsidP="00D87A65" w:rsidRDefault="00074005" w14:paraId="69F9B8A8" w14:textId="77777777">
      <w:pPr>
        <w:pStyle w:val="ListParagraph"/>
        <w:numPr>
          <w:ilvl w:val="0"/>
          <w:numId w:val="17"/>
        </w:numPr>
        <w:rPr>
          <w:rFonts w:ascii="Arial" w:hAnsi="Arial" w:cs="Arial"/>
        </w:rPr>
      </w:pPr>
      <w:r w:rsidRPr="00E545F4">
        <w:rPr>
          <w:rFonts w:ascii="Arial" w:hAnsi="Arial" w:cs="Arial"/>
        </w:rPr>
        <w:t>The treatment does not have approval from the relevant government body.</w:t>
      </w:r>
    </w:p>
    <w:p w:rsidRPr="00E545F4" w:rsidR="00074005" w:rsidP="00D87A65" w:rsidRDefault="00074005" w14:paraId="2C2DF726" w14:textId="77777777">
      <w:pPr>
        <w:pStyle w:val="ListParagraph"/>
        <w:numPr>
          <w:ilvl w:val="0"/>
          <w:numId w:val="17"/>
        </w:numPr>
        <w:rPr>
          <w:rFonts w:ascii="Arial" w:hAnsi="Arial" w:cs="Arial"/>
        </w:rPr>
      </w:pPr>
      <w:r w:rsidRPr="00E545F4">
        <w:rPr>
          <w:rFonts w:ascii="Arial" w:hAnsi="Arial" w:cs="Arial"/>
        </w:rPr>
        <w:t xml:space="preserve">The treatment does not conform to usual clinical practice in the view of </w:t>
      </w:r>
      <w:proofErr w:type="gramStart"/>
      <w:r w:rsidRPr="00E545F4">
        <w:rPr>
          <w:rFonts w:ascii="Arial" w:hAnsi="Arial" w:cs="Arial"/>
        </w:rPr>
        <w:t>the majority of</w:t>
      </w:r>
      <w:proofErr w:type="gramEnd"/>
      <w:r w:rsidRPr="00E545F4">
        <w:rPr>
          <w:rFonts w:ascii="Arial" w:hAnsi="Arial" w:cs="Arial"/>
        </w:rPr>
        <w:t xml:space="preserve"> medical practitioners in the relevant field.</w:t>
      </w:r>
    </w:p>
    <w:p w:rsidRPr="00E545F4" w:rsidR="00074005" w:rsidP="00D87A65" w:rsidRDefault="00074005" w14:paraId="7A6F38C7" w14:textId="77777777">
      <w:pPr>
        <w:pStyle w:val="ListParagraph"/>
        <w:numPr>
          <w:ilvl w:val="0"/>
          <w:numId w:val="17"/>
        </w:numPr>
        <w:rPr>
          <w:rFonts w:ascii="Arial" w:hAnsi="Arial" w:cs="Arial"/>
        </w:rPr>
      </w:pPr>
      <w:r w:rsidRPr="00E545F4">
        <w:rPr>
          <w:rFonts w:ascii="Arial" w:hAnsi="Arial" w:cs="Arial"/>
        </w:rPr>
        <w:t xml:space="preserve">The treatment is </w:t>
      </w:r>
      <w:proofErr w:type="gramStart"/>
      <w:r w:rsidRPr="00E545F4">
        <w:rPr>
          <w:rFonts w:ascii="Arial" w:hAnsi="Arial" w:cs="Arial"/>
        </w:rPr>
        <w:t>being used</w:t>
      </w:r>
      <w:proofErr w:type="gramEnd"/>
      <w:r w:rsidRPr="00E545F4">
        <w:rPr>
          <w:rFonts w:ascii="Arial" w:hAnsi="Arial" w:cs="Arial"/>
        </w:rPr>
        <w:t xml:space="preserve"> in a way other than that previously studied or that for which it has been granted approval by the relevant government body.</w:t>
      </w:r>
    </w:p>
    <w:p w:rsidRPr="00E545F4" w:rsidR="00074005" w:rsidP="00D87A65" w:rsidRDefault="00074005" w14:paraId="17E2318B" w14:textId="77777777">
      <w:pPr>
        <w:pStyle w:val="ListParagraph"/>
        <w:numPr>
          <w:ilvl w:val="0"/>
          <w:numId w:val="17"/>
        </w:numPr>
        <w:rPr>
          <w:rFonts w:ascii="Arial" w:hAnsi="Arial" w:cs="Arial"/>
        </w:rPr>
      </w:pPr>
      <w:r w:rsidRPr="00E545F4">
        <w:rPr>
          <w:rFonts w:ascii="Arial" w:hAnsi="Arial" w:cs="Arial"/>
        </w:rPr>
        <w:t xml:space="preserve">The treatment </w:t>
      </w:r>
      <w:proofErr w:type="gramStart"/>
      <w:r w:rsidRPr="00E545F4">
        <w:rPr>
          <w:rFonts w:ascii="Arial" w:hAnsi="Arial" w:cs="Arial"/>
        </w:rPr>
        <w:t>is rarely used</w:t>
      </w:r>
      <w:proofErr w:type="gramEnd"/>
      <w:r w:rsidRPr="00E545F4">
        <w:rPr>
          <w:rFonts w:ascii="Arial" w:hAnsi="Arial" w:cs="Arial"/>
        </w:rPr>
        <w:t>, novel, or unknown and there is a lack of authoritative evidence of safety and efficacy.</w:t>
      </w:r>
    </w:p>
    <w:p w:rsidR="00074005" w:rsidP="00074005" w:rsidRDefault="00074005" w14:paraId="5B934FBA" w14:textId="5C40A495">
      <w:pPr>
        <w:rPr>
          <w:rFonts w:ascii="Arial" w:hAnsi="Arial" w:cs="Arial"/>
        </w:rPr>
      </w:pPr>
      <w:r w:rsidRPr="4CA4F3CC" w:rsidR="00074005">
        <w:rPr>
          <w:rFonts w:ascii="Arial" w:hAnsi="Arial" w:cs="Arial"/>
        </w:rPr>
        <w:t>There may at times be exceptions to the above where the ICB may consider funding. The IFR team will apply the NHS England IFR policy (2023) section on experimental, uncertain, and unproven treatments when considering such requests.</w:t>
      </w:r>
      <w:r>
        <w:br/>
      </w:r>
    </w:p>
    <w:p w:rsidR="4CA4F3CC" w:rsidRDefault="4CA4F3CC" w14:paraId="7EFC02E6" w14:textId="18F05B98"/>
    <w:p w:rsidRPr="0062464A" w:rsidR="00182BE6" w:rsidP="00074005" w:rsidRDefault="00182BE6" w14:paraId="08FF6A13" w14:textId="77777777">
      <w:pPr>
        <w:rPr>
          <w:rFonts w:ascii="Arial" w:hAnsi="Arial" w:cs="Arial"/>
        </w:rPr>
      </w:pPr>
    </w:p>
    <w:p w:rsidRPr="00E545F4" w:rsidR="00074005" w:rsidP="0026695D" w:rsidRDefault="005F2634" w14:paraId="3D666F2F" w14:textId="02B15CDE">
      <w:pPr>
        <w:spacing w:after="0"/>
        <w:rPr>
          <w:rFonts w:ascii="Arial" w:hAnsi="Arial" w:cs="Arial"/>
          <w:b w:val="1"/>
          <w:bCs w:val="1"/>
          <w:color w:val="4F81BD" w:themeColor="accent1"/>
        </w:rPr>
      </w:pPr>
      <w:r w:rsidRPr="6B9DE975" w:rsidR="5C7E7F04">
        <w:rPr>
          <w:rFonts w:ascii="Arial" w:hAnsi="Arial" w:cs="Arial"/>
          <w:b w:val="1"/>
          <w:bCs w:val="1"/>
          <w:color w:val="4F81BD" w:themeColor="accent1" w:themeTint="FF" w:themeShade="FF"/>
        </w:rPr>
        <w:t>4.1</w:t>
      </w:r>
      <w:r w:rsidRPr="6B9DE975" w:rsidR="24424943">
        <w:rPr>
          <w:rFonts w:ascii="Arial" w:hAnsi="Arial" w:cs="Arial"/>
          <w:b w:val="1"/>
          <w:bCs w:val="1"/>
          <w:color w:val="4F81BD" w:themeColor="accent1" w:themeTint="FF" w:themeShade="FF"/>
        </w:rPr>
        <w:t>3</w:t>
      </w:r>
      <w:r w:rsidRPr="6B9DE975" w:rsidR="5C7E7F04">
        <w:rPr>
          <w:rFonts w:ascii="Arial" w:hAnsi="Arial" w:cs="Arial"/>
          <w:b w:val="1"/>
          <w:bCs w:val="1"/>
          <w:color w:val="4F81BD" w:themeColor="accent1" w:themeTint="FF" w:themeShade="FF"/>
        </w:rPr>
        <w:t xml:space="preserve"> </w:t>
      </w:r>
      <w:r w:rsidRPr="6B9DE975" w:rsidR="3EBD58E7">
        <w:rPr>
          <w:rFonts w:ascii="Arial" w:hAnsi="Arial" w:cs="Arial"/>
          <w:b w:val="1"/>
          <w:bCs w:val="1"/>
          <w:color w:val="4F81BD" w:themeColor="accent1" w:themeTint="FF" w:themeShade="FF"/>
        </w:rPr>
        <w:t xml:space="preserve">Funding for </w:t>
      </w:r>
      <w:r w:rsidRPr="6B9DE975" w:rsidR="3EBD58E7">
        <w:rPr>
          <w:rFonts w:ascii="Arial" w:hAnsi="Arial" w:cs="Arial"/>
          <w:b w:val="1"/>
          <w:bCs w:val="1"/>
          <w:color w:val="4F81BD" w:themeColor="accent1" w:themeTint="FF" w:themeShade="FF"/>
        </w:rPr>
        <w:t>C</w:t>
      </w:r>
      <w:r w:rsidRPr="6B9DE975" w:rsidR="3EBD58E7">
        <w:rPr>
          <w:rFonts w:ascii="Arial" w:hAnsi="Arial" w:cs="Arial"/>
          <w:b w:val="1"/>
          <w:bCs w:val="1"/>
          <w:color w:val="4F81BD" w:themeColor="accent1" w:themeTint="FF" w:themeShade="FF"/>
        </w:rPr>
        <w:t xml:space="preserve">ases </w:t>
      </w:r>
      <w:r w:rsidRPr="6B9DE975" w:rsidR="3EBD58E7">
        <w:rPr>
          <w:rFonts w:ascii="Arial" w:hAnsi="Arial" w:cs="Arial"/>
          <w:b w:val="1"/>
          <w:bCs w:val="1"/>
          <w:color w:val="4F81BD" w:themeColor="accent1" w:themeTint="FF" w:themeShade="FF"/>
        </w:rPr>
        <w:t>F</w:t>
      </w:r>
      <w:r w:rsidRPr="6B9DE975" w:rsidR="3EBD58E7">
        <w:rPr>
          <w:rFonts w:ascii="Arial" w:hAnsi="Arial" w:cs="Arial"/>
          <w:b w:val="1"/>
          <w:bCs w:val="1"/>
          <w:color w:val="4F81BD" w:themeColor="accent1" w:themeTint="FF" w:themeShade="FF"/>
        </w:rPr>
        <w:t xml:space="preserve">ollowing a </w:t>
      </w:r>
      <w:r w:rsidRPr="6B9DE975" w:rsidR="3EBD58E7">
        <w:rPr>
          <w:rFonts w:ascii="Arial" w:hAnsi="Arial" w:cs="Arial"/>
          <w:b w:val="1"/>
          <w:bCs w:val="1"/>
          <w:color w:val="4F81BD" w:themeColor="accent1" w:themeTint="FF" w:themeShade="FF"/>
        </w:rPr>
        <w:t>C</w:t>
      </w:r>
      <w:r w:rsidRPr="6B9DE975" w:rsidR="3EBD58E7">
        <w:rPr>
          <w:rFonts w:ascii="Arial" w:hAnsi="Arial" w:cs="Arial"/>
          <w:b w:val="1"/>
          <w:bCs w:val="1"/>
          <w:color w:val="4F81BD" w:themeColor="accent1" w:themeTint="FF" w:themeShade="FF"/>
        </w:rPr>
        <w:t xml:space="preserve">linical </w:t>
      </w:r>
      <w:r w:rsidRPr="6B9DE975" w:rsidR="3EBD58E7">
        <w:rPr>
          <w:rFonts w:ascii="Arial" w:hAnsi="Arial" w:cs="Arial"/>
          <w:b w:val="1"/>
          <w:bCs w:val="1"/>
          <w:color w:val="4F81BD" w:themeColor="accent1" w:themeTint="FF" w:themeShade="FF"/>
        </w:rPr>
        <w:t>T</w:t>
      </w:r>
      <w:r w:rsidRPr="6B9DE975" w:rsidR="3EBD58E7">
        <w:rPr>
          <w:rFonts w:ascii="Arial" w:hAnsi="Arial" w:cs="Arial"/>
          <w:b w:val="1"/>
          <w:bCs w:val="1"/>
          <w:color w:val="4F81BD" w:themeColor="accent1" w:themeTint="FF" w:themeShade="FF"/>
        </w:rPr>
        <w:t>rial.</w:t>
      </w:r>
      <w:r>
        <w:br/>
      </w:r>
    </w:p>
    <w:p w:rsidRPr="005F2634" w:rsidR="00494120" w:rsidP="000D7AAA" w:rsidRDefault="00074005" w14:paraId="0CC31AA9" w14:textId="58320532">
      <w:pPr>
        <w:rPr>
          <w:rFonts w:ascii="Arial" w:hAnsi="Arial" w:cs="Arial"/>
        </w:rPr>
      </w:pPr>
      <w:r w:rsidRPr="6F87A5EE">
        <w:rPr>
          <w:rFonts w:ascii="Arial" w:hAnsi="Arial" w:cs="Arial"/>
        </w:rPr>
        <w:t>C</w:t>
      </w:r>
      <w:r w:rsidRPr="6F87A5EE" w:rsidR="005F2634">
        <w:rPr>
          <w:rFonts w:ascii="Arial" w:hAnsi="Arial" w:cs="Arial"/>
        </w:rPr>
        <w:t xml:space="preserve">entral East </w:t>
      </w:r>
      <w:r w:rsidRPr="6F87A5EE">
        <w:rPr>
          <w:rFonts w:ascii="Arial" w:hAnsi="Arial" w:cs="Arial"/>
        </w:rPr>
        <w:t xml:space="preserve">ICB does not anticipate that it will agree a request under this IFR policy to fund patients at the end of a clinical trial. This is because arrangements to continue treatments from which patients have benefited during a trial should </w:t>
      </w:r>
      <w:proofErr w:type="gramStart"/>
      <w:r w:rsidRPr="6F87A5EE">
        <w:rPr>
          <w:rFonts w:ascii="Arial" w:hAnsi="Arial" w:cs="Arial"/>
        </w:rPr>
        <w:t>be agreed</w:t>
      </w:r>
      <w:proofErr w:type="gramEnd"/>
      <w:r w:rsidRPr="6F87A5EE">
        <w:rPr>
          <w:rFonts w:ascii="Arial" w:hAnsi="Arial" w:cs="Arial"/>
        </w:rPr>
        <w:t xml:space="preserve"> with the sponsor of the research at the outset of the trial and information should have been given to patients as part of the process of patients signing up to participate in the trial. Even if this is not the case, patients coming out of a clinical trial will </w:t>
      </w:r>
      <w:proofErr w:type="gramStart"/>
      <w:r w:rsidRPr="6F87A5EE">
        <w:rPr>
          <w:rFonts w:ascii="Arial" w:hAnsi="Arial" w:cs="Arial"/>
        </w:rPr>
        <w:t>almost inevitably</w:t>
      </w:r>
      <w:proofErr w:type="gramEnd"/>
      <w:r w:rsidRPr="6F87A5EE">
        <w:rPr>
          <w:rFonts w:ascii="Arial" w:hAnsi="Arial" w:cs="Arial"/>
        </w:rPr>
        <w:t xml:space="preserve"> represent a group of patients for whom a policy should be developed under the Service Development policy as there will be several patients in broadly the same clinical circumstances. In this instance it is very unlikely that the patient will be able to show clinical exceptionality within this policy.</w:t>
      </w:r>
    </w:p>
    <w:p w:rsidR="00A50FBA" w:rsidP="00A50FBA" w:rsidRDefault="00A50FBA" w14:paraId="47FA4DB8" w14:textId="5913B4C1">
      <w:pPr>
        <w:pStyle w:val="Heading2"/>
        <w:rPr>
          <w:rFonts w:ascii="Arial" w:hAnsi="Arial" w:cs="Arial"/>
          <w:sz w:val="22"/>
          <w:szCs w:val="22"/>
        </w:rPr>
      </w:pPr>
      <w:r w:rsidRPr="6B9DE975" w:rsidR="4D331760">
        <w:rPr>
          <w:rFonts w:ascii="Arial" w:hAnsi="Arial" w:cs="Arial"/>
          <w:sz w:val="22"/>
          <w:szCs w:val="22"/>
        </w:rPr>
        <w:t>5</w:t>
      </w:r>
      <w:r w:rsidRPr="6B9DE975" w:rsidR="4D331760">
        <w:rPr>
          <w:rFonts w:ascii="Arial" w:hAnsi="Arial" w:cs="Arial"/>
          <w:sz w:val="22"/>
          <w:szCs w:val="22"/>
        </w:rPr>
        <w:t>. Definitions</w:t>
      </w:r>
      <w:r>
        <w:br/>
      </w:r>
    </w:p>
    <w:p w:rsidR="00A50FBA" w:rsidP="00A50FBA" w:rsidRDefault="00221426" w14:paraId="3B600F2F" w14:textId="394CA127">
      <w:pPr>
        <w:rPr>
          <w:rFonts w:ascii="Arial" w:hAnsi="Arial" w:cs="Arial"/>
          <w:b/>
          <w:bCs/>
        </w:rPr>
      </w:pPr>
      <w:r w:rsidRPr="00221426">
        <w:rPr>
          <w:rFonts w:ascii="Arial" w:hAnsi="Arial" w:cs="Arial"/>
          <w:lang w:val="en-GB"/>
        </w:rPr>
        <w:t>The term ‘treatment’ used throughout this document includes all interventions, surgery, drugs and devices provided under medical supervision</w:t>
      </w:r>
      <w:r w:rsidRPr="00221426">
        <w:rPr>
          <w:rFonts w:ascii="Arial" w:hAnsi="Arial" w:cs="Arial"/>
        </w:rPr>
        <w:t xml:space="preserve"> </w:t>
      </w:r>
    </w:p>
    <w:p w:rsidR="00A50FBA" w:rsidP="00A50FBA" w:rsidRDefault="00A50FBA" w14:paraId="208C9480" w14:textId="08F4B1D1">
      <w:pPr>
        <w:rPr>
          <w:rFonts w:ascii="Arial" w:hAnsi="Arial" w:cs="Arial"/>
          <w:b/>
          <w:bCs/>
        </w:rPr>
      </w:pPr>
      <w:r>
        <w:rPr>
          <w:rFonts w:ascii="Arial" w:hAnsi="Arial" w:cs="Arial"/>
          <w:b/>
          <w:bCs/>
        </w:rPr>
        <w:t xml:space="preserve">Business Case - </w:t>
      </w:r>
      <w:r w:rsidRPr="00992386">
        <w:rPr>
          <w:rFonts w:ascii="Arial" w:hAnsi="Arial" w:cs="Arial"/>
        </w:rPr>
        <w:t xml:space="preserve">A business case is a structured proposal to the ICB that sets out the justification for funding a treatment or service, demonstrating clinical effectiveness, </w:t>
      </w:r>
      <w:proofErr w:type="gramStart"/>
      <w:r w:rsidRPr="00992386">
        <w:rPr>
          <w:rFonts w:ascii="Arial" w:hAnsi="Arial" w:cs="Arial"/>
        </w:rPr>
        <w:t>cost-effectiveness</w:t>
      </w:r>
      <w:proofErr w:type="gramEnd"/>
      <w:r w:rsidRPr="00992386">
        <w:rPr>
          <w:rFonts w:ascii="Arial" w:hAnsi="Arial" w:cs="Arial"/>
        </w:rPr>
        <w:t xml:space="preserve"> and alignment with </w:t>
      </w:r>
      <w:r>
        <w:rPr>
          <w:rFonts w:ascii="Arial" w:hAnsi="Arial" w:cs="Arial"/>
        </w:rPr>
        <w:t xml:space="preserve">ICB </w:t>
      </w:r>
      <w:r w:rsidRPr="00992386">
        <w:rPr>
          <w:rFonts w:ascii="Arial" w:hAnsi="Arial" w:cs="Arial"/>
        </w:rPr>
        <w:t xml:space="preserve">priorities. It should provide evidence of </w:t>
      </w:r>
      <w:r>
        <w:rPr>
          <w:rFonts w:ascii="Arial" w:hAnsi="Arial" w:cs="Arial"/>
        </w:rPr>
        <w:t xml:space="preserve">the outstanding healthcare </w:t>
      </w:r>
      <w:r w:rsidRPr="00992386">
        <w:rPr>
          <w:rFonts w:ascii="Arial" w:hAnsi="Arial" w:cs="Arial"/>
        </w:rPr>
        <w:t>need, options considered, expected outcomes and financial implications</w:t>
      </w:r>
      <w:r>
        <w:rPr>
          <w:rFonts w:ascii="Arial" w:hAnsi="Arial" w:cs="Arial"/>
        </w:rPr>
        <w:t xml:space="preserve"> as well as identify risks and detail how they will </w:t>
      </w:r>
      <w:proofErr w:type="gramStart"/>
      <w:r>
        <w:rPr>
          <w:rFonts w:ascii="Arial" w:hAnsi="Arial" w:cs="Arial"/>
        </w:rPr>
        <w:t>be managed</w:t>
      </w:r>
      <w:proofErr w:type="gramEnd"/>
      <w:r>
        <w:rPr>
          <w:rFonts w:ascii="Arial" w:hAnsi="Arial" w:cs="Arial"/>
        </w:rPr>
        <w:t>. The</w:t>
      </w:r>
      <w:r w:rsidRPr="00992386">
        <w:rPr>
          <w:rFonts w:ascii="Arial" w:hAnsi="Arial" w:cs="Arial"/>
        </w:rPr>
        <w:t xml:space="preserve"> purpose of a business case is to support transparent, equitable and accountable decision-making within the Integrated Care Board</w:t>
      </w:r>
      <w:r w:rsidR="009B557E">
        <w:rPr>
          <w:rFonts w:ascii="Arial" w:hAnsi="Arial" w:cs="Arial"/>
        </w:rPr>
        <w:t xml:space="preserve"> </w:t>
      </w:r>
      <w:r w:rsidR="00E24B37">
        <w:rPr>
          <w:rFonts w:ascii="Arial" w:hAnsi="Arial" w:cs="Arial"/>
        </w:rPr>
        <w:t>and</w:t>
      </w:r>
      <w:r w:rsidRPr="00992386" w:rsidR="00E24B37">
        <w:rPr>
          <w:rFonts w:ascii="Arial" w:hAnsi="Arial" w:cs="Arial"/>
        </w:rPr>
        <w:t xml:space="preserve"> to</w:t>
      </w:r>
      <w:r w:rsidRPr="00992386">
        <w:rPr>
          <w:rFonts w:ascii="Arial" w:hAnsi="Arial" w:cs="Arial"/>
        </w:rPr>
        <w:t xml:space="preserve"> support transparent and equitable decision-making</w:t>
      </w:r>
      <w:r w:rsidR="00A209C3">
        <w:rPr>
          <w:rFonts w:ascii="Arial" w:hAnsi="Arial" w:cs="Arial"/>
        </w:rPr>
        <w:t xml:space="preserve"> (s</w:t>
      </w:r>
      <w:r w:rsidRPr="00A209C3">
        <w:rPr>
          <w:rFonts w:ascii="Arial" w:hAnsi="Arial" w:cs="Arial"/>
        </w:rPr>
        <w:t xml:space="preserve">ee section </w:t>
      </w:r>
      <w:r w:rsidRPr="00A209C3" w:rsidR="005F2634">
        <w:rPr>
          <w:rFonts w:ascii="Arial" w:hAnsi="Arial" w:cs="Arial"/>
        </w:rPr>
        <w:t>4.6</w:t>
      </w:r>
      <w:r w:rsidRPr="00A209C3">
        <w:rPr>
          <w:rFonts w:ascii="Arial" w:hAnsi="Arial" w:cs="Arial"/>
        </w:rPr>
        <w:t>)</w:t>
      </w:r>
      <w:r w:rsidR="00A209C3">
        <w:rPr>
          <w:rFonts w:ascii="Arial" w:hAnsi="Arial" w:cs="Arial"/>
        </w:rPr>
        <w:t>.</w:t>
      </w:r>
    </w:p>
    <w:p w:rsidRPr="0062464A" w:rsidR="00A50FBA" w:rsidP="00A50FBA" w:rsidRDefault="00A50FBA" w14:paraId="38C05FD4" w14:textId="2DDCDB3B">
      <w:pPr>
        <w:rPr>
          <w:rFonts w:ascii="Arial" w:hAnsi="Arial" w:cs="Arial"/>
        </w:rPr>
      </w:pPr>
      <w:r w:rsidRPr="00AC712A">
        <w:rPr>
          <w:rFonts w:ascii="Arial" w:hAnsi="Arial" w:cs="Arial"/>
          <w:b/>
          <w:bCs/>
        </w:rPr>
        <w:t>Drugs</w:t>
      </w:r>
      <w:r w:rsidRPr="0062464A">
        <w:rPr>
          <w:rFonts w:ascii="Arial" w:hAnsi="Arial" w:cs="Arial"/>
        </w:rPr>
        <w:t xml:space="preserve"> - IFR cases for drugs covered by this policy are High-Cost drugs (and devices that are the responsibility of </w:t>
      </w:r>
      <w:r w:rsidR="00C600D7">
        <w:rPr>
          <w:rFonts w:ascii="Arial" w:hAnsi="Arial" w:cs="Arial"/>
        </w:rPr>
        <w:t xml:space="preserve">the </w:t>
      </w:r>
      <w:r w:rsidRPr="00C600D7">
        <w:rPr>
          <w:rFonts w:ascii="Arial" w:hAnsi="Arial" w:cs="Arial"/>
        </w:rPr>
        <w:t>APC),</w:t>
      </w:r>
      <w:r w:rsidRPr="0062464A">
        <w:rPr>
          <w:rFonts w:ascii="Arial" w:hAnsi="Arial" w:cs="Arial"/>
        </w:rPr>
        <w:t xml:space="preserve"> excluded from national tariff/NHS payment scheme for which </w:t>
      </w:r>
      <w:r>
        <w:rPr>
          <w:rFonts w:ascii="Arial" w:hAnsi="Arial" w:cs="Arial"/>
        </w:rPr>
        <w:t>C</w:t>
      </w:r>
      <w:r w:rsidR="0001036D">
        <w:rPr>
          <w:rFonts w:ascii="Arial" w:hAnsi="Arial" w:cs="Arial"/>
        </w:rPr>
        <w:t>entral East</w:t>
      </w:r>
      <w:r w:rsidRPr="0062464A">
        <w:rPr>
          <w:rFonts w:ascii="Arial" w:hAnsi="Arial" w:cs="Arial"/>
        </w:rPr>
        <w:t xml:space="preserve"> ICB is the responsible commissioner and other drugs/devices considered by, and that fall under the remit of </w:t>
      </w:r>
      <w:r w:rsidR="00C600D7">
        <w:rPr>
          <w:rFonts w:ascii="Arial" w:hAnsi="Arial" w:cs="Arial"/>
        </w:rPr>
        <w:t>the</w:t>
      </w:r>
      <w:r w:rsidRPr="0062464A">
        <w:rPr>
          <w:rFonts w:ascii="Arial" w:hAnsi="Arial" w:cs="Arial"/>
        </w:rPr>
        <w:t xml:space="preserve"> APC and assigned locally as an excluded treatment.</w:t>
      </w:r>
    </w:p>
    <w:p w:rsidRPr="0062464A" w:rsidR="00A50FBA" w:rsidP="00A50FBA" w:rsidRDefault="00A50FBA" w14:paraId="47290F46" w14:textId="6DDCA609">
      <w:pPr>
        <w:rPr>
          <w:rFonts w:ascii="Arial" w:hAnsi="Arial" w:cs="Arial"/>
        </w:rPr>
      </w:pPr>
      <w:r w:rsidRPr="005D2E44">
        <w:rPr>
          <w:rFonts w:ascii="Arial" w:hAnsi="Arial" w:cs="Arial"/>
          <w:b/>
          <w:bCs/>
        </w:rPr>
        <w:t>Utilisation Management</w:t>
      </w:r>
      <w:r>
        <w:rPr>
          <w:rFonts w:ascii="Arial" w:hAnsi="Arial" w:cs="Arial"/>
          <w:b/>
          <w:bCs/>
        </w:rPr>
        <w:t xml:space="preserve"> -</w:t>
      </w:r>
      <w:r>
        <w:rPr>
          <w:rFonts w:ascii="Arial" w:hAnsi="Arial" w:cs="Arial"/>
        </w:rPr>
        <w:t xml:space="preserve"> </w:t>
      </w:r>
      <w:r w:rsidRPr="005D2E44">
        <w:rPr>
          <w:rFonts w:ascii="Arial" w:hAnsi="Arial" w:cs="Arial"/>
        </w:rPr>
        <w:t xml:space="preserve">Utilisation Management refers to the process of ensuring that healthcare resources </w:t>
      </w:r>
      <w:proofErr w:type="gramStart"/>
      <w:r w:rsidRPr="005D2E44">
        <w:rPr>
          <w:rFonts w:ascii="Arial" w:hAnsi="Arial" w:cs="Arial"/>
        </w:rPr>
        <w:t>are used</w:t>
      </w:r>
      <w:proofErr w:type="gramEnd"/>
      <w:r w:rsidRPr="005D2E44">
        <w:rPr>
          <w:rFonts w:ascii="Arial" w:hAnsi="Arial" w:cs="Arial"/>
        </w:rPr>
        <w:t xml:space="preserve"> effectively, appropriately and in a way that delivers the best possible outcomes for patients</w:t>
      </w:r>
      <w:r>
        <w:rPr>
          <w:rFonts w:ascii="Arial" w:hAnsi="Arial" w:cs="Arial"/>
        </w:rPr>
        <w:t xml:space="preserve">, </w:t>
      </w:r>
      <w:r w:rsidRPr="005D2E44">
        <w:rPr>
          <w:rFonts w:ascii="Arial" w:hAnsi="Arial" w:cs="Arial"/>
        </w:rPr>
        <w:t>improving experience</w:t>
      </w:r>
      <w:r>
        <w:rPr>
          <w:rFonts w:ascii="Arial" w:hAnsi="Arial" w:cs="Arial"/>
        </w:rPr>
        <w:t>,</w:t>
      </w:r>
      <w:r w:rsidRPr="005D2E44">
        <w:rPr>
          <w:rFonts w:ascii="Arial" w:hAnsi="Arial" w:cs="Arial"/>
        </w:rPr>
        <w:t xml:space="preserve"> value for money and delivering the ICB’s statutory responsibilities</w:t>
      </w:r>
      <w:r>
        <w:rPr>
          <w:rFonts w:ascii="Arial" w:hAnsi="Arial" w:cs="Arial"/>
        </w:rPr>
        <w:t>. The IFR and Clinical Policy functions sit within the Utilisation Management directorate in the ICB.</w:t>
      </w:r>
    </w:p>
    <w:p w:rsidRPr="0062464A" w:rsidR="00A50FBA" w:rsidP="00A50FBA" w:rsidRDefault="00A50FBA" w14:paraId="0D3BC04F" w14:textId="6562A524">
      <w:pPr>
        <w:rPr>
          <w:rFonts w:ascii="Arial" w:hAnsi="Arial" w:cs="Arial"/>
        </w:rPr>
      </w:pPr>
      <w:r w:rsidRPr="007563E8">
        <w:rPr>
          <w:rFonts w:ascii="Arial" w:hAnsi="Arial" w:cs="Arial"/>
          <w:b/>
          <w:bCs/>
        </w:rPr>
        <w:t>Individual Funding Requests (IFR</w:t>
      </w:r>
      <w:r>
        <w:rPr>
          <w:rFonts w:ascii="Arial" w:hAnsi="Arial" w:cs="Arial"/>
          <w:b/>
          <w:bCs/>
        </w:rPr>
        <w:t>s</w:t>
      </w:r>
      <w:r w:rsidRPr="007563E8">
        <w:rPr>
          <w:rFonts w:ascii="Arial" w:hAnsi="Arial" w:cs="Arial"/>
          <w:b/>
          <w:bCs/>
        </w:rPr>
        <w:t>)</w:t>
      </w:r>
      <w:r w:rsidRPr="0062464A">
        <w:rPr>
          <w:rFonts w:ascii="Arial" w:hAnsi="Arial" w:cs="Arial"/>
        </w:rPr>
        <w:t xml:space="preserve"> </w:t>
      </w:r>
      <w:r w:rsidRPr="008942A5" w:rsidR="008942A5">
        <w:rPr>
          <w:rFonts w:ascii="Arial" w:hAnsi="Arial" w:cs="Arial"/>
          <w:b/>
          <w:bCs/>
        </w:rPr>
        <w:t>and Exceptional Case Requests</w:t>
      </w:r>
      <w:r w:rsidR="008942A5">
        <w:rPr>
          <w:rFonts w:ascii="Arial" w:hAnsi="Arial" w:cs="Arial"/>
        </w:rPr>
        <w:t xml:space="preserve"> </w:t>
      </w:r>
      <w:r w:rsidRPr="0062464A">
        <w:rPr>
          <w:rFonts w:ascii="Arial" w:hAnsi="Arial" w:cs="Arial"/>
        </w:rPr>
        <w:t>–</w:t>
      </w:r>
      <w:r w:rsidR="008942A5">
        <w:rPr>
          <w:rFonts w:ascii="Arial" w:hAnsi="Arial" w:cs="Arial"/>
        </w:rPr>
        <w:t xml:space="preserve"> These are </w:t>
      </w:r>
      <w:r w:rsidRPr="0062464A">
        <w:rPr>
          <w:rFonts w:ascii="Arial" w:hAnsi="Arial" w:cs="Arial"/>
        </w:rPr>
        <w:t>request</w:t>
      </w:r>
      <w:r w:rsidR="008942A5">
        <w:rPr>
          <w:rFonts w:ascii="Arial" w:hAnsi="Arial" w:cs="Arial"/>
        </w:rPr>
        <w:t>s</w:t>
      </w:r>
      <w:r w:rsidRPr="0062464A">
        <w:rPr>
          <w:rFonts w:ascii="Arial" w:hAnsi="Arial" w:cs="Arial"/>
        </w:rPr>
        <w:t xml:space="preserve"> to the </w:t>
      </w:r>
      <w:r>
        <w:rPr>
          <w:rFonts w:ascii="Arial" w:hAnsi="Arial" w:cs="Arial"/>
        </w:rPr>
        <w:t>ICB</w:t>
      </w:r>
      <w:r w:rsidRPr="0062464A">
        <w:rPr>
          <w:rFonts w:ascii="Arial" w:hAnsi="Arial" w:cs="Arial"/>
        </w:rPr>
        <w:t xml:space="preserve"> to fund healthcare for an individual who falls outside the range of services and treatments that the </w:t>
      </w:r>
      <w:r>
        <w:rPr>
          <w:rFonts w:ascii="Arial" w:hAnsi="Arial" w:cs="Arial"/>
        </w:rPr>
        <w:t xml:space="preserve">ICB </w:t>
      </w:r>
      <w:r w:rsidRPr="0062464A">
        <w:rPr>
          <w:rFonts w:ascii="Arial" w:hAnsi="Arial" w:cs="Arial"/>
        </w:rPr>
        <w:t>has agreed to</w:t>
      </w:r>
      <w:r>
        <w:rPr>
          <w:rFonts w:ascii="Arial" w:hAnsi="Arial" w:cs="Arial"/>
        </w:rPr>
        <w:t xml:space="preserve"> routinely</w:t>
      </w:r>
      <w:r w:rsidRPr="0062464A">
        <w:rPr>
          <w:rFonts w:ascii="Arial" w:hAnsi="Arial" w:cs="Arial"/>
        </w:rPr>
        <w:t xml:space="preserve"> commission</w:t>
      </w:r>
      <w:proofErr w:type="gramStart"/>
      <w:r w:rsidRPr="0062464A">
        <w:rPr>
          <w:rFonts w:ascii="Arial" w:hAnsi="Arial" w:cs="Arial"/>
        </w:rPr>
        <w:t>.</w:t>
      </w:r>
      <w:r>
        <w:rPr>
          <w:rFonts w:ascii="Arial" w:hAnsi="Arial" w:cs="Arial"/>
        </w:rPr>
        <w:t xml:space="preserve"> </w:t>
      </w:r>
      <w:r w:rsidRPr="0062464A">
        <w:rPr>
          <w:rFonts w:ascii="Arial" w:hAnsi="Arial" w:cs="Arial"/>
        </w:rPr>
        <w:t xml:space="preserve"> </w:t>
      </w:r>
      <w:proofErr w:type="gramEnd"/>
      <w:r w:rsidRPr="0062464A">
        <w:rPr>
          <w:rFonts w:ascii="Arial" w:hAnsi="Arial" w:cs="Arial"/>
        </w:rPr>
        <w:t xml:space="preserve">IFRs include both Exceptional and Individual Cases. The ICB will only provide funding if </w:t>
      </w:r>
      <w:r>
        <w:rPr>
          <w:rFonts w:ascii="Arial" w:hAnsi="Arial" w:cs="Arial"/>
        </w:rPr>
        <w:t>the IFR panel</w:t>
      </w:r>
      <w:r w:rsidRPr="0062464A">
        <w:rPr>
          <w:rFonts w:ascii="Arial" w:hAnsi="Arial" w:cs="Arial"/>
        </w:rPr>
        <w:t xml:space="preserve"> is satisfied that the case meets the </w:t>
      </w:r>
      <w:r>
        <w:rPr>
          <w:rFonts w:ascii="Arial" w:hAnsi="Arial" w:cs="Arial"/>
        </w:rPr>
        <w:t>IFR</w:t>
      </w:r>
      <w:r w:rsidRPr="0062464A">
        <w:rPr>
          <w:rFonts w:ascii="Arial" w:hAnsi="Arial" w:cs="Arial"/>
        </w:rPr>
        <w:t xml:space="preserve"> criteria</w:t>
      </w:r>
      <w:r>
        <w:rPr>
          <w:rFonts w:ascii="Arial" w:hAnsi="Arial" w:cs="Arial"/>
        </w:rPr>
        <w:t xml:space="preserve"> (</w:t>
      </w:r>
      <w:r w:rsidR="00C600D7">
        <w:rPr>
          <w:rFonts w:ascii="Arial" w:hAnsi="Arial" w:cs="Arial"/>
        </w:rPr>
        <w:t xml:space="preserve">see </w:t>
      </w:r>
      <w:r w:rsidRPr="00C600D7">
        <w:rPr>
          <w:rFonts w:ascii="Arial" w:hAnsi="Arial" w:cs="Arial"/>
        </w:rPr>
        <w:t xml:space="preserve">section </w:t>
      </w:r>
      <w:r w:rsidRPr="00C600D7" w:rsidR="006E53AA">
        <w:rPr>
          <w:rFonts w:ascii="Arial" w:hAnsi="Arial" w:cs="Arial"/>
        </w:rPr>
        <w:t>4.1</w:t>
      </w:r>
      <w:r w:rsidRPr="00C600D7">
        <w:rPr>
          <w:rFonts w:ascii="Arial" w:hAnsi="Arial" w:cs="Arial"/>
        </w:rPr>
        <w:t>)</w:t>
      </w:r>
      <w:r w:rsidR="00C600D7">
        <w:rPr>
          <w:rFonts w:ascii="Arial" w:hAnsi="Arial" w:cs="Arial"/>
        </w:rPr>
        <w:t>.</w:t>
      </w:r>
    </w:p>
    <w:p w:rsidR="00A50FBA" w:rsidP="00A50FBA" w:rsidRDefault="00A50FBA" w14:paraId="484D3BF0" w14:textId="3D270506">
      <w:pPr>
        <w:rPr>
          <w:rFonts w:ascii="Arial" w:hAnsi="Arial" w:cs="Arial"/>
        </w:rPr>
      </w:pPr>
      <w:r w:rsidRPr="007563E8">
        <w:rPr>
          <w:rFonts w:ascii="Arial" w:hAnsi="Arial" w:cs="Arial"/>
          <w:b/>
          <w:bCs/>
        </w:rPr>
        <w:t>Clinical Policies</w:t>
      </w:r>
      <w:r w:rsidRPr="0062464A">
        <w:rPr>
          <w:rFonts w:ascii="Arial" w:hAnsi="Arial" w:cs="Arial"/>
        </w:rPr>
        <w:t xml:space="preserve"> – </w:t>
      </w:r>
      <w:r>
        <w:rPr>
          <w:rFonts w:ascii="Arial" w:hAnsi="Arial" w:cs="Arial"/>
        </w:rPr>
        <w:t>C</w:t>
      </w:r>
      <w:r w:rsidR="0001036D">
        <w:rPr>
          <w:rFonts w:ascii="Arial" w:hAnsi="Arial" w:cs="Arial"/>
        </w:rPr>
        <w:t>entral East</w:t>
      </w:r>
      <w:r w:rsidRPr="0062464A">
        <w:rPr>
          <w:rFonts w:ascii="Arial" w:hAnsi="Arial" w:cs="Arial"/>
        </w:rPr>
        <w:t xml:space="preserve"> ICB clinical policies</w:t>
      </w:r>
      <w:r>
        <w:rPr>
          <w:rFonts w:ascii="Arial" w:hAnsi="Arial" w:cs="Arial"/>
        </w:rPr>
        <w:t xml:space="preserve"> are</w:t>
      </w:r>
      <w:r w:rsidRPr="0062464A">
        <w:rPr>
          <w:rFonts w:ascii="Arial" w:hAnsi="Arial" w:cs="Arial"/>
        </w:rPr>
        <w:t xml:space="preserve"> based on evidence reviews and local priorities, to support appropriate clinical decision making. These policies set out whether the procedure </w:t>
      </w:r>
      <w:proofErr w:type="gramStart"/>
      <w:r w:rsidRPr="0062464A">
        <w:rPr>
          <w:rFonts w:ascii="Arial" w:hAnsi="Arial" w:cs="Arial"/>
        </w:rPr>
        <w:t>is routinely commissioned</w:t>
      </w:r>
      <w:proofErr w:type="gramEnd"/>
      <w:r w:rsidRPr="0062464A">
        <w:rPr>
          <w:rFonts w:ascii="Arial" w:hAnsi="Arial" w:cs="Arial"/>
        </w:rPr>
        <w:t xml:space="preserve"> and, if so, what clinical criteria should be met. </w:t>
      </w:r>
    </w:p>
    <w:p w:rsidR="00B943DD" w:rsidP="00A50FBA" w:rsidRDefault="00A50FBA" w14:paraId="4C5D3F67" w14:textId="77777777">
      <w:pPr>
        <w:rPr>
          <w:rFonts w:ascii="Arial" w:hAnsi="Arial" w:cs="Arial"/>
          <w:lang w:val="en-GB"/>
        </w:rPr>
      </w:pPr>
      <w:r w:rsidRPr="00633BE5">
        <w:rPr>
          <w:rFonts w:ascii="Arial" w:hAnsi="Arial" w:cs="Arial"/>
          <w:b/>
          <w:lang w:val="en-GB"/>
        </w:rPr>
        <w:t>The National Institute for Health and Care Excellence (NICE)</w:t>
      </w:r>
      <w:r w:rsidRPr="00633BE5">
        <w:rPr>
          <w:rFonts w:ascii="Arial" w:hAnsi="Arial" w:cs="Arial"/>
          <w:lang w:val="en-GB"/>
        </w:rPr>
        <w:t xml:space="preserve"> provides national guidance and advice to improve health and social care.  NICE Technology Appraisals ((TA) approving drugs and technologies for funding within the NHS) need to be implemented within the allocated time frame of the Appraisal being published.  The ICB will seek to ensure implementation of NICE TA’s as soon as </w:t>
      </w:r>
      <w:r w:rsidRPr="00633BE5">
        <w:rPr>
          <w:rFonts w:ascii="Arial" w:hAnsi="Arial" w:cs="Arial"/>
          <w:lang w:val="en-GB"/>
        </w:rPr>
        <w:t>possible within the statutory requirement period as laid out in the individual TA. The ICB recognise that delays may occur where significant service change and/or development are required as part of the implementation</w:t>
      </w:r>
    </w:p>
    <w:p w:rsidRPr="0062464A" w:rsidR="00A50FBA" w:rsidP="00A50FBA" w:rsidRDefault="00A50FBA" w14:paraId="0A976BFC" w14:textId="73B0453E">
      <w:pPr>
        <w:rPr>
          <w:rFonts w:ascii="Arial" w:hAnsi="Arial" w:cs="Arial"/>
        </w:rPr>
      </w:pPr>
      <w:r w:rsidRPr="000A656B">
        <w:rPr>
          <w:rFonts w:ascii="Arial" w:hAnsi="Arial" w:cs="Arial"/>
          <w:b/>
          <w:bCs/>
        </w:rPr>
        <w:t>Not Normally Funded</w:t>
      </w:r>
      <w:r>
        <w:rPr>
          <w:rFonts w:ascii="Arial" w:hAnsi="Arial" w:cs="Arial"/>
          <w:b/>
          <w:bCs/>
        </w:rPr>
        <w:t xml:space="preserve"> / </w:t>
      </w:r>
      <w:r w:rsidR="00743BD2">
        <w:rPr>
          <w:rFonts w:ascii="Arial" w:hAnsi="Arial" w:cs="Arial"/>
          <w:b/>
          <w:bCs/>
        </w:rPr>
        <w:t>Commissioned</w:t>
      </w:r>
      <w:r w:rsidRPr="0062464A">
        <w:rPr>
          <w:rFonts w:ascii="Arial" w:hAnsi="Arial" w:cs="Arial"/>
        </w:rPr>
        <w:t xml:space="preserve"> – Those procedures and treatments which have </w:t>
      </w:r>
      <w:proofErr w:type="gramStart"/>
      <w:r w:rsidRPr="0062464A">
        <w:rPr>
          <w:rFonts w:ascii="Arial" w:hAnsi="Arial" w:cs="Arial"/>
        </w:rPr>
        <w:t>been assessed</w:t>
      </w:r>
      <w:proofErr w:type="gramEnd"/>
      <w:r w:rsidRPr="0062464A">
        <w:rPr>
          <w:rFonts w:ascii="Arial" w:hAnsi="Arial" w:cs="Arial"/>
        </w:rPr>
        <w:t xml:space="preserve"> as treatments of low clinical effectiveness, having limited evidence of effectiveness, or not in line with local priorities</w:t>
      </w:r>
      <w:r>
        <w:rPr>
          <w:rFonts w:ascii="Arial" w:hAnsi="Arial" w:cs="Arial"/>
        </w:rPr>
        <w:t>.</w:t>
      </w:r>
      <w:r w:rsidRPr="0062464A">
        <w:rPr>
          <w:rFonts w:ascii="Arial" w:hAnsi="Arial" w:cs="Arial"/>
        </w:rPr>
        <w:t xml:space="preserve"> Applications for these procedures and treatments can be made to the IFR Team but should only be made where the patient demonstrates true clinical exceptionality </w:t>
      </w:r>
      <w:proofErr w:type="gramStart"/>
      <w:r>
        <w:rPr>
          <w:rFonts w:ascii="Arial" w:hAnsi="Arial" w:cs="Arial"/>
        </w:rPr>
        <w:t>by definition of</w:t>
      </w:r>
      <w:proofErr w:type="gramEnd"/>
      <w:r>
        <w:rPr>
          <w:rFonts w:ascii="Arial" w:hAnsi="Arial" w:cs="Arial"/>
        </w:rPr>
        <w:t xml:space="preserve"> this policy. </w:t>
      </w:r>
    </w:p>
    <w:p w:rsidRPr="0062464A" w:rsidR="00A50FBA" w:rsidP="00A50FBA" w:rsidRDefault="00A50FBA" w14:paraId="6E164FF3" w14:textId="37FDD8DB">
      <w:pPr>
        <w:rPr>
          <w:rFonts w:ascii="Arial" w:hAnsi="Arial" w:cs="Arial"/>
        </w:rPr>
      </w:pPr>
      <w:r w:rsidRPr="00D26979">
        <w:rPr>
          <w:rFonts w:ascii="Arial" w:hAnsi="Arial" w:cs="Arial"/>
          <w:b/>
          <w:bCs/>
        </w:rPr>
        <w:t>Patient Groups -</w:t>
      </w:r>
      <w:r w:rsidRPr="0062464A">
        <w:rPr>
          <w:rFonts w:ascii="Arial" w:hAnsi="Arial" w:cs="Arial"/>
        </w:rPr>
        <w:t xml:space="preserve"> A small defined group of patients in the same or similar clinical circumstances. </w:t>
      </w:r>
      <w:r w:rsidR="00743BD2">
        <w:rPr>
          <w:rFonts w:ascii="Arial" w:hAnsi="Arial" w:cs="Arial"/>
        </w:rPr>
        <w:t xml:space="preserve">Central East </w:t>
      </w:r>
      <w:r w:rsidRPr="0062464A">
        <w:rPr>
          <w:rFonts w:ascii="Arial" w:hAnsi="Arial" w:cs="Arial"/>
        </w:rPr>
        <w:t xml:space="preserve">ICB IFR team </w:t>
      </w:r>
      <w:r w:rsidRPr="0062464A" w:rsidR="008076D6">
        <w:rPr>
          <w:rFonts w:ascii="Arial" w:hAnsi="Arial" w:cs="Arial"/>
        </w:rPr>
        <w:t>considers</w:t>
      </w:r>
      <w:r w:rsidRPr="0062464A">
        <w:rPr>
          <w:rFonts w:ascii="Arial" w:hAnsi="Arial" w:cs="Arial"/>
        </w:rPr>
        <w:t xml:space="preserve"> there to be a patient group when there are likely to be other patients in the </w:t>
      </w:r>
      <w:r w:rsidR="00743BD2">
        <w:rPr>
          <w:rFonts w:ascii="Arial" w:hAnsi="Arial" w:cs="Arial"/>
        </w:rPr>
        <w:t>Central East ICB</w:t>
      </w:r>
      <w:r w:rsidRPr="0062464A">
        <w:rPr>
          <w:rFonts w:ascii="Arial" w:hAnsi="Arial" w:cs="Arial"/>
        </w:rPr>
        <w:t xml:space="preserve"> area in the same or similar clinical condition.</w:t>
      </w:r>
    </w:p>
    <w:p w:rsidR="00A50FBA" w:rsidP="00A50FBA" w:rsidRDefault="00A50FBA" w14:paraId="69062053" w14:textId="21D971D8">
      <w:pPr>
        <w:rPr>
          <w:rFonts w:ascii="Arial" w:hAnsi="Arial" w:cs="Arial"/>
        </w:rPr>
      </w:pPr>
      <w:r w:rsidRPr="00D26979">
        <w:rPr>
          <w:rFonts w:ascii="Arial" w:hAnsi="Arial" w:cs="Arial"/>
          <w:b/>
          <w:bCs/>
        </w:rPr>
        <w:t>Prior Approval (PA)</w:t>
      </w:r>
      <w:r w:rsidRPr="0062464A">
        <w:rPr>
          <w:rFonts w:ascii="Arial" w:hAnsi="Arial" w:cs="Arial"/>
        </w:rPr>
        <w:t xml:space="preserve"> - Is a process in which clinicians demonstrate, by application to the IFR Team, how a patient meets the criteria set out within the relevant </w:t>
      </w:r>
      <w:r w:rsidR="008E1316">
        <w:rPr>
          <w:rFonts w:ascii="Arial" w:hAnsi="Arial" w:cs="Arial"/>
        </w:rPr>
        <w:t xml:space="preserve">clinical </w:t>
      </w:r>
      <w:r w:rsidRPr="0062464A">
        <w:rPr>
          <w:rFonts w:ascii="Arial" w:hAnsi="Arial" w:cs="Arial"/>
        </w:rPr>
        <w:t xml:space="preserve">policies, prior to referring to secondary or tertiary care and/or by consultants prior to listing for surgery. It applies to those procedures which </w:t>
      </w:r>
      <w:proofErr w:type="gramStart"/>
      <w:r w:rsidRPr="0062464A">
        <w:rPr>
          <w:rFonts w:ascii="Arial" w:hAnsi="Arial" w:cs="Arial"/>
        </w:rPr>
        <w:t>are commissioned</w:t>
      </w:r>
      <w:proofErr w:type="gramEnd"/>
      <w:r w:rsidRPr="0062464A">
        <w:rPr>
          <w:rFonts w:ascii="Arial" w:hAnsi="Arial" w:cs="Arial"/>
        </w:rPr>
        <w:t xml:space="preserve"> but only for patients who meet the defined criteria. Prior approval can </w:t>
      </w:r>
      <w:proofErr w:type="gramStart"/>
      <w:r w:rsidRPr="0062464A">
        <w:rPr>
          <w:rFonts w:ascii="Arial" w:hAnsi="Arial" w:cs="Arial"/>
        </w:rPr>
        <w:t>be applied</w:t>
      </w:r>
      <w:proofErr w:type="gramEnd"/>
      <w:r w:rsidRPr="0062464A">
        <w:rPr>
          <w:rFonts w:ascii="Arial" w:hAnsi="Arial" w:cs="Arial"/>
        </w:rPr>
        <w:t xml:space="preserve"> to or removed from any criteria-based policy and </w:t>
      </w:r>
      <w:r w:rsidR="008E1316">
        <w:rPr>
          <w:rFonts w:ascii="Arial" w:hAnsi="Arial" w:cs="Arial"/>
        </w:rPr>
        <w:t>is</w:t>
      </w:r>
      <w:r w:rsidRPr="0062464A">
        <w:rPr>
          <w:rFonts w:ascii="Arial" w:hAnsi="Arial" w:cs="Arial"/>
        </w:rPr>
        <w:t xml:space="preserve"> considered on a patient-by-patient basis by the IFR team. </w:t>
      </w:r>
    </w:p>
    <w:p w:rsidRPr="0062464A" w:rsidR="00A50FBA" w:rsidP="00A50FBA" w:rsidRDefault="00A50FBA" w14:paraId="2B130485" w14:textId="6A268BF8">
      <w:pPr>
        <w:rPr>
          <w:rFonts w:ascii="Arial" w:hAnsi="Arial" w:cs="Arial"/>
        </w:rPr>
      </w:pPr>
      <w:r w:rsidRPr="00D26979">
        <w:rPr>
          <w:rFonts w:ascii="Arial" w:hAnsi="Arial" w:cs="Arial"/>
          <w:b/>
          <w:bCs/>
        </w:rPr>
        <w:t>Threshold Approvals</w:t>
      </w:r>
      <w:r w:rsidRPr="0062464A">
        <w:rPr>
          <w:rFonts w:ascii="Arial" w:hAnsi="Arial" w:cs="Arial"/>
        </w:rPr>
        <w:t xml:space="preserve"> – Those procedures which </w:t>
      </w:r>
      <w:proofErr w:type="gramStart"/>
      <w:r w:rsidRPr="0062464A">
        <w:rPr>
          <w:rFonts w:ascii="Arial" w:hAnsi="Arial" w:cs="Arial"/>
        </w:rPr>
        <w:t>are routinely commissioned</w:t>
      </w:r>
      <w:proofErr w:type="gramEnd"/>
      <w:r w:rsidRPr="0062464A">
        <w:rPr>
          <w:rFonts w:ascii="Arial" w:hAnsi="Arial" w:cs="Arial"/>
        </w:rPr>
        <w:t xml:space="preserve"> by </w:t>
      </w:r>
      <w:r w:rsidR="00743BD2">
        <w:rPr>
          <w:rFonts w:ascii="Arial" w:hAnsi="Arial" w:cs="Arial"/>
        </w:rPr>
        <w:t>Central East</w:t>
      </w:r>
      <w:r w:rsidRPr="0062464A">
        <w:rPr>
          <w:rFonts w:ascii="Arial" w:hAnsi="Arial" w:cs="Arial"/>
        </w:rPr>
        <w:t xml:space="preserve"> ICB and are within agreed contracts but only for patients who meet the defined criteria set out within the relevant national and local Evidence-Based Interventions policies. Clinicians can proceed to treat the patients who meet the threshold criteria and prior approval </w:t>
      </w:r>
      <w:proofErr w:type="gramStart"/>
      <w:r w:rsidRPr="0062464A">
        <w:rPr>
          <w:rFonts w:ascii="Arial" w:hAnsi="Arial" w:cs="Arial"/>
        </w:rPr>
        <w:t>is not required</w:t>
      </w:r>
      <w:proofErr w:type="gramEnd"/>
      <w:r w:rsidRPr="0062464A">
        <w:rPr>
          <w:rFonts w:ascii="Arial" w:hAnsi="Arial" w:cs="Arial"/>
        </w:rPr>
        <w:t xml:space="preserve">. Notification of compliance or audit will </w:t>
      </w:r>
      <w:proofErr w:type="gramStart"/>
      <w:r w:rsidRPr="0062464A">
        <w:rPr>
          <w:rFonts w:ascii="Arial" w:hAnsi="Arial" w:cs="Arial"/>
        </w:rPr>
        <w:t>be required</w:t>
      </w:r>
      <w:proofErr w:type="gramEnd"/>
      <w:r w:rsidRPr="0062464A">
        <w:rPr>
          <w:rFonts w:ascii="Arial" w:hAnsi="Arial" w:cs="Arial"/>
        </w:rPr>
        <w:t xml:space="preserve"> according to contractual arrangements.</w:t>
      </w:r>
    </w:p>
    <w:p w:rsidRPr="0062464A" w:rsidR="00A50FBA" w:rsidP="00A50FBA" w:rsidRDefault="00A50FBA" w14:paraId="13A1192B" w14:textId="77777777">
      <w:pPr>
        <w:rPr>
          <w:rFonts w:ascii="Arial" w:hAnsi="Arial" w:cs="Arial"/>
        </w:rPr>
      </w:pPr>
      <w:r w:rsidRPr="00D26979">
        <w:rPr>
          <w:rFonts w:ascii="Arial" w:hAnsi="Arial" w:cs="Arial"/>
          <w:b/>
          <w:bCs/>
        </w:rPr>
        <w:t>Treatments -</w:t>
      </w:r>
      <w:r w:rsidRPr="0062464A">
        <w:rPr>
          <w:rFonts w:ascii="Arial" w:hAnsi="Arial" w:cs="Arial"/>
        </w:rPr>
        <w:t xml:space="preserve"> The term ‘treatment’ used throughout this document includes all interventions, investigations, drugs, and devices provided under medical supervision.</w:t>
      </w:r>
    </w:p>
    <w:p w:rsidRPr="0062464A" w:rsidR="00A50FBA" w:rsidP="00A50FBA" w:rsidRDefault="00A50FBA" w14:paraId="315FE006" w14:textId="57782D31">
      <w:pPr>
        <w:pStyle w:val="Heading2"/>
        <w:rPr>
          <w:rFonts w:ascii="Arial" w:hAnsi="Arial" w:cs="Arial"/>
          <w:sz w:val="22"/>
          <w:szCs w:val="22"/>
        </w:rPr>
      </w:pPr>
      <w:r w:rsidRPr="6B9DE975" w:rsidR="4D331760">
        <w:rPr>
          <w:rFonts w:ascii="Arial" w:hAnsi="Arial" w:cs="Arial"/>
          <w:sz w:val="22"/>
          <w:szCs w:val="22"/>
        </w:rPr>
        <w:t>6. Roles and Responsibilities</w:t>
      </w:r>
      <w:r>
        <w:br/>
      </w:r>
    </w:p>
    <w:p w:rsidR="00A50FBA" w:rsidP="00A50FBA" w:rsidRDefault="00A50FBA" w14:paraId="46220199" w14:textId="68525F98">
      <w:pPr>
        <w:rPr>
          <w:rFonts w:ascii="Arial" w:hAnsi="Arial" w:cs="Arial"/>
        </w:rPr>
      </w:pPr>
      <w:r w:rsidRPr="0062464A">
        <w:rPr>
          <w:rFonts w:ascii="Arial" w:hAnsi="Arial" w:cs="Arial"/>
        </w:rPr>
        <w:t xml:space="preserve">This policy applies to all </w:t>
      </w:r>
      <w:r w:rsidR="00743BD2">
        <w:rPr>
          <w:rFonts w:ascii="Arial" w:hAnsi="Arial" w:cs="Arial"/>
        </w:rPr>
        <w:t>Central East</w:t>
      </w:r>
      <w:r w:rsidRPr="0062464A">
        <w:rPr>
          <w:rFonts w:ascii="Arial" w:hAnsi="Arial" w:cs="Arial"/>
        </w:rPr>
        <w:t xml:space="preserve"> ICB staff members, whether permanent, temporary or contracted-in (either as an individual or through a third-party supplier). </w:t>
      </w:r>
      <w:proofErr w:type="gramStart"/>
      <w:r w:rsidR="00DE0691">
        <w:rPr>
          <w:rFonts w:ascii="Arial" w:hAnsi="Arial" w:cs="Arial"/>
        </w:rPr>
        <w:t>The roles and responsibilities are listed below by hierarchy of accountability</w:t>
      </w:r>
      <w:proofErr w:type="gramEnd"/>
      <w:r w:rsidR="00DE0691">
        <w:rPr>
          <w:rFonts w:ascii="Arial" w:hAnsi="Arial" w:cs="Arial"/>
        </w:rPr>
        <w:t>.</w:t>
      </w:r>
    </w:p>
    <w:p w:rsidR="00E10147" w:rsidP="00DE0691" w:rsidRDefault="00DE0691" w14:paraId="45FDA9E9" w14:textId="77777777">
      <w:pPr>
        <w:rPr>
          <w:rFonts w:ascii="Arial" w:hAnsi="Arial" w:cs="Arial"/>
        </w:rPr>
      </w:pPr>
      <w:r w:rsidRPr="008C1B74">
        <w:rPr>
          <w:rFonts w:ascii="Arial" w:hAnsi="Arial" w:cs="Arial"/>
          <w:b/>
          <w:bCs/>
        </w:rPr>
        <w:t>The ICB’s Chief Executive Officer</w:t>
      </w:r>
      <w:r w:rsidRPr="0062464A">
        <w:rPr>
          <w:rFonts w:ascii="Arial" w:hAnsi="Arial" w:cs="Arial"/>
        </w:rPr>
        <w:t xml:space="preserve"> has overriding accountability for the actions of the IFR Service and the </w:t>
      </w:r>
      <w:r>
        <w:rPr>
          <w:rFonts w:ascii="Arial" w:hAnsi="Arial" w:cs="Arial"/>
        </w:rPr>
        <w:t xml:space="preserve">IFR and </w:t>
      </w:r>
      <w:r w:rsidRPr="0062464A">
        <w:rPr>
          <w:rFonts w:ascii="Arial" w:hAnsi="Arial" w:cs="Arial"/>
        </w:rPr>
        <w:t>Exceptional Cases Panel.</w:t>
      </w:r>
      <w:r w:rsidRPr="006E53AA">
        <w:rPr>
          <w:rFonts w:ascii="Arial" w:hAnsi="Arial" w:cs="Arial"/>
        </w:rPr>
        <w:t xml:space="preserve"> </w:t>
      </w:r>
    </w:p>
    <w:p w:rsidR="00DE0691" w:rsidP="00DE0691" w:rsidRDefault="00DE0691" w14:paraId="5437613C" w14:textId="77777777">
      <w:pPr>
        <w:rPr>
          <w:rFonts w:ascii="Arial" w:hAnsi="Arial" w:cs="Arial"/>
        </w:rPr>
      </w:pPr>
      <w:bookmarkStart w:name="_Hlk216449547" w:id="7"/>
      <w:r w:rsidRPr="008C1B74">
        <w:rPr>
          <w:rFonts w:ascii="Arial" w:hAnsi="Arial" w:cs="Arial"/>
          <w:b/>
          <w:bCs/>
        </w:rPr>
        <w:t>The Central East ICB Utilisation Management &amp; Quality Improvement Committee</w:t>
      </w:r>
      <w:r>
        <w:rPr>
          <w:rFonts w:ascii="Arial" w:hAnsi="Arial" w:cs="Arial"/>
        </w:rPr>
        <w:t xml:space="preserve"> </w:t>
      </w:r>
      <w:bookmarkEnd w:id="7"/>
      <w:r>
        <w:rPr>
          <w:rFonts w:ascii="Arial" w:hAnsi="Arial" w:cs="Arial"/>
        </w:rPr>
        <w:t>has</w:t>
      </w:r>
      <w:r w:rsidRPr="0062464A">
        <w:rPr>
          <w:rFonts w:ascii="Arial" w:hAnsi="Arial" w:cs="Arial"/>
        </w:rPr>
        <w:t xml:space="preserve"> delegated the responsibility of approving the IFR Policy</w:t>
      </w:r>
      <w:r>
        <w:rPr>
          <w:rFonts w:ascii="Arial" w:hAnsi="Arial" w:cs="Arial"/>
        </w:rPr>
        <w:t xml:space="preserve"> and Clinical Policies </w:t>
      </w:r>
    </w:p>
    <w:p w:rsidR="00DE0691" w:rsidP="00DE0691" w:rsidRDefault="00DE0691" w14:paraId="1304ECA5" w14:textId="77777777">
      <w:pPr>
        <w:rPr>
          <w:rFonts w:ascii="Arial" w:hAnsi="Arial" w:cs="Arial"/>
        </w:rPr>
      </w:pPr>
      <w:r w:rsidRPr="00193549">
        <w:rPr>
          <w:rFonts w:ascii="Arial" w:hAnsi="Arial" w:cs="Arial"/>
          <w:b/>
          <w:bCs/>
        </w:rPr>
        <w:t>The Executive Clinical Director for Utilisation Management</w:t>
      </w:r>
      <w:r w:rsidRPr="0062464A">
        <w:rPr>
          <w:rFonts w:ascii="Arial" w:hAnsi="Arial" w:cs="Arial"/>
        </w:rPr>
        <w:t xml:space="preserve"> is responsible for the overall management of the IFR Service and the processes that deliver the IFR Policy ensuring that quality and consistency </w:t>
      </w:r>
      <w:proofErr w:type="gramStart"/>
      <w:r w:rsidRPr="0062464A">
        <w:rPr>
          <w:rFonts w:ascii="Arial" w:hAnsi="Arial" w:cs="Arial"/>
        </w:rPr>
        <w:t>is applied</w:t>
      </w:r>
      <w:proofErr w:type="gramEnd"/>
      <w:r w:rsidRPr="0062464A">
        <w:rPr>
          <w:rFonts w:ascii="Arial" w:hAnsi="Arial" w:cs="Arial"/>
        </w:rPr>
        <w:t xml:space="preserve">. </w:t>
      </w:r>
    </w:p>
    <w:p w:rsidR="00DE0691" w:rsidP="00DE0691" w:rsidRDefault="0026695D" w14:paraId="480A94CA" w14:textId="3563D10E">
      <w:pPr>
        <w:rPr>
          <w:rFonts w:ascii="Arial" w:hAnsi="Arial" w:cs="Arial"/>
        </w:rPr>
      </w:pPr>
      <w:r w:rsidRPr="00C362DF">
        <w:rPr>
          <w:rFonts w:ascii="Arial" w:hAnsi="Arial" w:cs="Arial"/>
          <w:b/>
          <w:bCs/>
        </w:rPr>
        <w:t>IFR</w:t>
      </w:r>
      <w:r>
        <w:rPr>
          <w:rFonts w:ascii="Arial" w:hAnsi="Arial" w:cs="Arial"/>
          <w:b/>
          <w:bCs/>
        </w:rPr>
        <w:t xml:space="preserve"> &amp; Exceptional Cases</w:t>
      </w:r>
      <w:r w:rsidRPr="00C362DF">
        <w:rPr>
          <w:rFonts w:ascii="Arial" w:hAnsi="Arial" w:cs="Arial"/>
          <w:b/>
          <w:bCs/>
        </w:rPr>
        <w:t xml:space="preserve"> Panel</w:t>
      </w:r>
      <w:r w:rsidRPr="0062464A">
        <w:rPr>
          <w:rFonts w:ascii="Arial" w:hAnsi="Arial" w:cs="Arial"/>
        </w:rPr>
        <w:t xml:space="preserve"> - </w:t>
      </w:r>
      <w:r>
        <w:rPr>
          <w:rFonts w:ascii="Arial" w:hAnsi="Arial" w:cs="Arial"/>
        </w:rPr>
        <w:t>R</w:t>
      </w:r>
      <w:r w:rsidRPr="0062464A">
        <w:rPr>
          <w:rFonts w:ascii="Arial" w:hAnsi="Arial" w:cs="Arial"/>
        </w:rPr>
        <w:t xml:space="preserve">esponsible for ensuring the </w:t>
      </w:r>
      <w:r>
        <w:rPr>
          <w:rFonts w:ascii="Arial" w:hAnsi="Arial" w:cs="Arial"/>
        </w:rPr>
        <w:t>cases</w:t>
      </w:r>
      <w:r w:rsidRPr="0062464A">
        <w:rPr>
          <w:rFonts w:ascii="Arial" w:hAnsi="Arial" w:cs="Arial"/>
        </w:rPr>
        <w:t xml:space="preserve"> it receives are considered in a fair and transparent way, with decisions based on</w:t>
      </w:r>
      <w:r>
        <w:rPr>
          <w:rFonts w:ascii="Arial" w:hAnsi="Arial" w:cs="Arial"/>
        </w:rPr>
        <w:t xml:space="preserve"> this IFR policy,</w:t>
      </w:r>
      <w:r w:rsidRPr="0062464A">
        <w:rPr>
          <w:rFonts w:ascii="Arial" w:hAnsi="Arial" w:cs="Arial"/>
        </w:rPr>
        <w:t xml:space="preserve"> available published evidence of </w:t>
      </w:r>
      <w:r w:rsidRPr="0062464A">
        <w:rPr>
          <w:rFonts w:ascii="Arial" w:hAnsi="Arial" w:cs="Arial"/>
        </w:rPr>
        <w:t xml:space="preserve">clinical effectiveness and </w:t>
      </w:r>
      <w:proofErr w:type="gramStart"/>
      <w:r w:rsidRPr="0062464A">
        <w:rPr>
          <w:rFonts w:ascii="Arial" w:hAnsi="Arial" w:cs="Arial"/>
        </w:rPr>
        <w:t>likely value</w:t>
      </w:r>
      <w:proofErr w:type="gramEnd"/>
      <w:r w:rsidRPr="0062464A">
        <w:rPr>
          <w:rFonts w:ascii="Arial" w:hAnsi="Arial" w:cs="Arial"/>
        </w:rPr>
        <w:t xml:space="preserve"> for money relating to the proposed treatment.</w:t>
      </w:r>
      <w:r>
        <w:rPr>
          <w:rFonts w:ascii="Arial" w:hAnsi="Arial" w:cs="Arial"/>
        </w:rPr>
        <w:t xml:space="preserve"> </w:t>
      </w:r>
      <w:r w:rsidRPr="0062464A">
        <w:rPr>
          <w:rFonts w:ascii="Arial" w:hAnsi="Arial" w:cs="Arial"/>
        </w:rPr>
        <w:t xml:space="preserve">The IFR panel has delegated authority from </w:t>
      </w:r>
      <w:r>
        <w:rPr>
          <w:rFonts w:ascii="Arial" w:hAnsi="Arial" w:cs="Arial"/>
        </w:rPr>
        <w:t>Central East</w:t>
      </w:r>
      <w:r w:rsidRPr="0062464A">
        <w:rPr>
          <w:rFonts w:ascii="Arial" w:hAnsi="Arial" w:cs="Arial"/>
        </w:rPr>
        <w:t xml:space="preserve"> ICB to make decisions in respect of funding for individual and exceptional cases</w:t>
      </w:r>
      <w:r w:rsidRPr="00C362DF">
        <w:rPr>
          <w:rFonts w:ascii="Arial" w:hAnsi="Arial" w:cs="Arial"/>
        </w:rPr>
        <w:t xml:space="preserve"> </w:t>
      </w:r>
      <w:r w:rsidRPr="0062464A">
        <w:rPr>
          <w:rFonts w:ascii="Arial" w:hAnsi="Arial" w:cs="Arial"/>
        </w:rPr>
        <w:t>and can approve funding outside of</w:t>
      </w:r>
      <w:r>
        <w:rPr>
          <w:rFonts w:ascii="Arial" w:hAnsi="Arial" w:cs="Arial"/>
        </w:rPr>
        <w:t xml:space="preserve"> clinical</w:t>
      </w:r>
      <w:r w:rsidRPr="0062464A">
        <w:rPr>
          <w:rFonts w:ascii="Arial" w:hAnsi="Arial" w:cs="Arial"/>
        </w:rPr>
        <w:t xml:space="preserve"> policy</w:t>
      </w:r>
      <w:r>
        <w:rPr>
          <w:rFonts w:ascii="Arial" w:hAnsi="Arial" w:cs="Arial"/>
        </w:rPr>
        <w:t xml:space="preserve"> and service contracts.</w:t>
      </w:r>
      <w:r w:rsidRPr="0062464A">
        <w:rPr>
          <w:rFonts w:ascii="Arial" w:hAnsi="Arial" w:cs="Arial"/>
        </w:rPr>
        <w:t xml:space="preserve"> The Panel acts independently and consists of a range of doctors, public health experts, pharmacists and relevant ICB Leads that have not been involved in the patient’s care. </w:t>
      </w:r>
      <w:r w:rsidRPr="00193549">
        <w:rPr>
          <w:rFonts w:ascii="Arial" w:hAnsi="Arial" w:cs="Arial"/>
        </w:rPr>
        <w:t>The IFR panel will report any significant issues and risks arising to the Central East ICB Utilisation Management &amp; Quality Improvement Committee</w:t>
      </w:r>
      <w:r w:rsidRPr="00193549" w:rsidR="00923A5E">
        <w:rPr>
          <w:rFonts w:ascii="Arial" w:hAnsi="Arial" w:cs="Arial"/>
        </w:rPr>
        <w:t xml:space="preserve"> / Utilisation management Programme Board</w:t>
      </w:r>
      <w:r w:rsidRPr="0062464A">
        <w:rPr>
          <w:rFonts w:ascii="Arial" w:hAnsi="Arial" w:cs="Arial"/>
        </w:rPr>
        <w:t xml:space="preserve"> or any issues relating to clinical policy</w:t>
      </w:r>
      <w:r>
        <w:rPr>
          <w:rFonts w:ascii="Arial" w:hAnsi="Arial" w:cs="Arial"/>
        </w:rPr>
        <w:t xml:space="preserve"> or prescribing guidelines</w:t>
      </w:r>
      <w:r w:rsidRPr="0062464A">
        <w:rPr>
          <w:rFonts w:ascii="Arial" w:hAnsi="Arial" w:cs="Arial"/>
        </w:rPr>
        <w:t xml:space="preserve"> to the Clinical Policies Group or APC. The</w:t>
      </w:r>
      <w:r>
        <w:rPr>
          <w:rFonts w:ascii="Arial" w:hAnsi="Arial" w:cs="Arial"/>
        </w:rPr>
        <w:t xml:space="preserve"> IFR</w:t>
      </w:r>
      <w:r w:rsidRPr="0062464A">
        <w:rPr>
          <w:rFonts w:ascii="Arial" w:hAnsi="Arial" w:cs="Arial"/>
        </w:rPr>
        <w:t xml:space="preserve"> panel may also </w:t>
      </w:r>
      <w:proofErr w:type="gramStart"/>
      <w:r w:rsidRPr="0062464A">
        <w:rPr>
          <w:rFonts w:ascii="Arial" w:hAnsi="Arial" w:cs="Arial"/>
        </w:rPr>
        <w:t>be asked</w:t>
      </w:r>
      <w:proofErr w:type="gramEnd"/>
      <w:r w:rsidRPr="0062464A">
        <w:rPr>
          <w:rFonts w:ascii="Arial" w:hAnsi="Arial" w:cs="Arial"/>
        </w:rPr>
        <w:t xml:space="preserve"> to review appeal cases previously considered by other external ICB IFR panels in line with their IFR process. Please see the IFR Panel Terms of Reference</w:t>
      </w:r>
      <w:r w:rsidR="00923A5E">
        <w:rPr>
          <w:rFonts w:ascii="Arial" w:hAnsi="Arial" w:cs="Arial"/>
        </w:rPr>
        <w:t xml:space="preserve"> (Appendix</w:t>
      </w:r>
      <w:r w:rsidR="00081DF3">
        <w:rPr>
          <w:rFonts w:ascii="Arial" w:hAnsi="Arial" w:cs="Arial"/>
        </w:rPr>
        <w:t xml:space="preserve"> </w:t>
      </w:r>
      <w:r w:rsidR="007A5D31">
        <w:rPr>
          <w:rFonts w:ascii="Arial" w:hAnsi="Arial" w:cs="Arial"/>
        </w:rPr>
        <w:t>2</w:t>
      </w:r>
      <w:r w:rsidRPr="0062464A">
        <w:rPr>
          <w:rFonts w:ascii="Arial" w:hAnsi="Arial" w:cs="Arial"/>
        </w:rPr>
        <w:t xml:space="preserve"> for further details</w:t>
      </w:r>
      <w:r w:rsidR="00081DF3">
        <w:rPr>
          <w:rFonts w:ascii="Arial" w:hAnsi="Arial" w:cs="Arial"/>
        </w:rPr>
        <w:t>)</w:t>
      </w:r>
      <w:r w:rsidRPr="0062464A">
        <w:rPr>
          <w:rFonts w:ascii="Arial" w:hAnsi="Arial" w:cs="Arial"/>
        </w:rPr>
        <w:t xml:space="preserve">. </w:t>
      </w:r>
      <w:r>
        <w:rPr>
          <w:rFonts w:ascii="Arial" w:hAnsi="Arial" w:cs="Arial"/>
        </w:rPr>
        <w:br/>
      </w:r>
      <w:r>
        <w:rPr>
          <w:rFonts w:ascii="Arial" w:hAnsi="Arial" w:cs="Arial"/>
          <w:b/>
          <w:bCs/>
        </w:rPr>
        <w:br/>
      </w:r>
      <w:r w:rsidRPr="00DA78B3" w:rsidR="00DE0691">
        <w:rPr>
          <w:rFonts w:ascii="Arial" w:hAnsi="Arial" w:cs="Arial"/>
          <w:b/>
          <w:bCs/>
        </w:rPr>
        <w:t>Area Prescribing Committee (APC)</w:t>
      </w:r>
      <w:r w:rsidR="00DE0691">
        <w:rPr>
          <w:rFonts w:ascii="Arial" w:hAnsi="Arial" w:cs="Arial"/>
          <w:b/>
          <w:bCs/>
        </w:rPr>
        <w:t xml:space="preserve"> for Central East ICB</w:t>
      </w:r>
      <w:r w:rsidRPr="0062464A" w:rsidR="00DE0691">
        <w:rPr>
          <w:rFonts w:ascii="Arial" w:hAnsi="Arial" w:cs="Arial"/>
        </w:rPr>
        <w:t xml:space="preserve"> </w:t>
      </w:r>
      <w:r w:rsidR="00DE0691">
        <w:rPr>
          <w:rFonts w:ascii="Arial" w:hAnsi="Arial" w:cs="Arial"/>
        </w:rPr>
        <w:t>–</w:t>
      </w:r>
      <w:r w:rsidR="00CD4FA1">
        <w:rPr>
          <w:rFonts w:ascii="Arial" w:hAnsi="Arial" w:cs="Arial"/>
        </w:rPr>
        <w:t xml:space="preserve"> </w:t>
      </w:r>
      <w:r w:rsidR="00DE0691">
        <w:rPr>
          <w:rFonts w:ascii="Arial" w:hAnsi="Arial" w:cs="Arial"/>
        </w:rPr>
        <w:t>I</w:t>
      </w:r>
      <w:r w:rsidRPr="0062464A" w:rsidR="00DE0691">
        <w:rPr>
          <w:rFonts w:ascii="Arial" w:hAnsi="Arial" w:cs="Arial"/>
        </w:rPr>
        <w:t xml:space="preserve">s the strategic local decision-making group with responsibility to promote rational, evidence-based, high quality, safe and cost-effective medicines use and optimisation across </w:t>
      </w:r>
      <w:r w:rsidR="00DE0691">
        <w:rPr>
          <w:rFonts w:ascii="Arial" w:hAnsi="Arial" w:cs="Arial"/>
        </w:rPr>
        <w:t>the Central East ICB area</w:t>
      </w:r>
      <w:r w:rsidRPr="0062464A" w:rsidR="00DE0691">
        <w:rPr>
          <w:rFonts w:ascii="Arial" w:hAnsi="Arial" w:cs="Arial"/>
        </w:rPr>
        <w:t xml:space="preserve">. </w:t>
      </w:r>
      <w:r w:rsidRPr="0062464A" w:rsidR="00DE0691">
        <w:rPr>
          <w:rFonts w:ascii="Arial" w:hAnsi="Arial" w:cs="Arial"/>
        </w:rPr>
        <w:br/>
      </w:r>
      <w:r w:rsidRPr="0062464A" w:rsidR="00DE0691">
        <w:rPr>
          <w:rFonts w:ascii="Arial" w:hAnsi="Arial" w:cs="Arial"/>
        </w:rPr>
        <w:t xml:space="preserve">The APC is part of a system-wide approach to supporting evidence-based investment, and disinvestment, in line with the strategic priorities of the Integrated Care System and Integrated Care Board. The APC provides a forum for local stakeholders to consider and make recommendations in ways that are robust, transparent, consistent and take account of regional and national recommendations using an explicit ethical framework and decision-making criteria. </w:t>
      </w:r>
      <w:r w:rsidRPr="0062464A" w:rsidR="00DE0691">
        <w:rPr>
          <w:rFonts w:ascii="Arial" w:hAnsi="Arial" w:cs="Arial"/>
        </w:rPr>
        <w:br/>
      </w:r>
      <w:r w:rsidRPr="0062464A" w:rsidR="00DE0691">
        <w:rPr>
          <w:rFonts w:ascii="Arial" w:hAnsi="Arial" w:cs="Arial"/>
        </w:rPr>
        <w:t xml:space="preserve">APC prescribing recommendations, based on evidence reviews and local priorities, support appropriate clinical decision making. These recommendations set out whether a drug treatment </w:t>
      </w:r>
      <w:proofErr w:type="gramStart"/>
      <w:r w:rsidRPr="0062464A" w:rsidR="00DE0691">
        <w:rPr>
          <w:rFonts w:ascii="Arial" w:hAnsi="Arial" w:cs="Arial"/>
        </w:rPr>
        <w:t>is routinely commissioned</w:t>
      </w:r>
      <w:proofErr w:type="gramEnd"/>
      <w:r w:rsidRPr="0062464A" w:rsidR="00DE0691">
        <w:rPr>
          <w:rFonts w:ascii="Arial" w:hAnsi="Arial" w:cs="Arial"/>
        </w:rPr>
        <w:t xml:space="preserve"> and, if so, what criteria should be met.</w:t>
      </w:r>
    </w:p>
    <w:p w:rsidR="00DE0691" w:rsidP="00DE0691" w:rsidRDefault="00DE0691" w14:paraId="58FAE7F1" w14:textId="47B0CA89">
      <w:pPr>
        <w:rPr>
          <w:rFonts w:ascii="Arial" w:hAnsi="Arial" w:cs="Arial"/>
        </w:rPr>
      </w:pPr>
      <w:r w:rsidRPr="00DA78B3">
        <w:rPr>
          <w:rFonts w:ascii="Arial" w:hAnsi="Arial" w:cs="Arial"/>
          <w:b/>
          <w:bCs/>
        </w:rPr>
        <w:t>Clinical Policies Group (CPG)</w:t>
      </w:r>
      <w:r w:rsidRPr="0062464A">
        <w:rPr>
          <w:rFonts w:ascii="Arial" w:hAnsi="Arial" w:cs="Arial"/>
        </w:rPr>
        <w:t xml:space="preserve"> </w:t>
      </w:r>
      <w:r>
        <w:rPr>
          <w:rFonts w:ascii="Arial" w:hAnsi="Arial" w:cs="Arial"/>
        </w:rPr>
        <w:t>–</w:t>
      </w:r>
      <w:r w:rsidRPr="0062464A">
        <w:rPr>
          <w:rFonts w:ascii="Arial" w:hAnsi="Arial" w:cs="Arial"/>
        </w:rPr>
        <w:t xml:space="preserve"> </w:t>
      </w:r>
      <w:r>
        <w:rPr>
          <w:rFonts w:ascii="Arial" w:hAnsi="Arial" w:cs="Arial"/>
        </w:rPr>
        <w:t xml:space="preserve">The Central East </w:t>
      </w:r>
      <w:r w:rsidRPr="0062464A">
        <w:rPr>
          <w:rFonts w:ascii="Arial" w:hAnsi="Arial" w:cs="Arial"/>
        </w:rPr>
        <w:t xml:space="preserve">ICB CPG ensures clinical policies support the delivery of evidence-based, high-value, safe, equitable, cost-effective, and affordable care, in line with Integrated Care System (ICS) strategic priorities and annual planning. CPG produces and maintains a set of </w:t>
      </w:r>
      <w:r w:rsidR="00C73215">
        <w:rPr>
          <w:rFonts w:ascii="Arial" w:hAnsi="Arial" w:cs="Arial"/>
        </w:rPr>
        <w:t>c</w:t>
      </w:r>
      <w:r>
        <w:rPr>
          <w:rFonts w:ascii="Arial" w:hAnsi="Arial" w:cs="Arial"/>
        </w:rPr>
        <w:t xml:space="preserve">linical </w:t>
      </w:r>
      <w:r w:rsidR="00C73215">
        <w:rPr>
          <w:rFonts w:ascii="Arial" w:hAnsi="Arial" w:cs="Arial"/>
        </w:rPr>
        <w:t>p</w:t>
      </w:r>
      <w:r w:rsidRPr="0062464A">
        <w:rPr>
          <w:rFonts w:ascii="Arial" w:hAnsi="Arial" w:cs="Arial"/>
        </w:rPr>
        <w:t xml:space="preserve">olicies which describe procedures that </w:t>
      </w:r>
      <w:proofErr w:type="gramStart"/>
      <w:r w:rsidRPr="0062464A">
        <w:rPr>
          <w:rFonts w:ascii="Arial" w:hAnsi="Arial" w:cs="Arial"/>
        </w:rPr>
        <w:t>are not routinely commissioned</w:t>
      </w:r>
      <w:proofErr w:type="gramEnd"/>
      <w:r w:rsidRPr="0062464A">
        <w:rPr>
          <w:rFonts w:ascii="Arial" w:hAnsi="Arial" w:cs="Arial"/>
        </w:rPr>
        <w:t xml:space="preserve"> or are only routinely commissioned when certain clinical criteria (or thresholds) are met. </w:t>
      </w:r>
    </w:p>
    <w:p w:rsidRPr="0062464A" w:rsidR="0026695D" w:rsidP="0026695D" w:rsidRDefault="0026695D" w14:paraId="5F497C73" w14:textId="1A1C6783">
      <w:pPr>
        <w:rPr>
          <w:rFonts w:ascii="Arial" w:hAnsi="Arial" w:cs="Arial"/>
        </w:rPr>
      </w:pPr>
      <w:r w:rsidRPr="000838DB">
        <w:rPr>
          <w:rFonts w:ascii="Arial" w:hAnsi="Arial" w:cs="Arial"/>
          <w:b/>
          <w:bCs/>
        </w:rPr>
        <w:t>Public Health Consultant</w:t>
      </w:r>
      <w:r w:rsidR="00CD4FA1">
        <w:rPr>
          <w:rFonts w:ascii="Arial" w:hAnsi="Arial" w:cs="Arial"/>
          <w:b/>
          <w:bCs/>
        </w:rPr>
        <w:t xml:space="preserve"> </w:t>
      </w:r>
      <w:r w:rsidRPr="00F60D43">
        <w:rPr>
          <w:rFonts w:ascii="Arial" w:hAnsi="Arial" w:cs="Arial"/>
          <w:b/>
          <w:bCs/>
        </w:rPr>
        <w:t>/</w:t>
      </w:r>
      <w:r w:rsidRPr="00F60D43" w:rsidR="00F60D43">
        <w:rPr>
          <w:rFonts w:ascii="Arial" w:hAnsi="Arial" w:cs="Arial"/>
          <w:b/>
          <w:bCs/>
        </w:rPr>
        <w:t xml:space="preserve"> Associate</w:t>
      </w:r>
      <w:r w:rsidR="00F60D43">
        <w:t xml:space="preserve"> </w:t>
      </w:r>
      <w:r w:rsidRPr="00F60D43" w:rsidR="00F60D43">
        <w:rPr>
          <w:rFonts w:ascii="Arial" w:hAnsi="Arial" w:cs="Arial"/>
          <w:b/>
          <w:bCs/>
        </w:rPr>
        <w:t xml:space="preserve">Clinical Director </w:t>
      </w:r>
      <w:r w:rsidRPr="0062464A">
        <w:rPr>
          <w:rFonts w:ascii="Arial" w:hAnsi="Arial" w:cs="Arial"/>
        </w:rPr>
        <w:t xml:space="preserve">- Provides clinical support and advice to the IFR team, screening group </w:t>
      </w:r>
      <w:proofErr w:type="gramStart"/>
      <w:r w:rsidRPr="0062464A">
        <w:rPr>
          <w:rFonts w:ascii="Arial" w:hAnsi="Arial" w:cs="Arial"/>
        </w:rPr>
        <w:t>meetings</w:t>
      </w:r>
      <w:proofErr w:type="gramEnd"/>
      <w:r w:rsidRPr="0062464A">
        <w:rPr>
          <w:rFonts w:ascii="Arial" w:hAnsi="Arial" w:cs="Arial"/>
        </w:rPr>
        <w:t xml:space="preserve"> and IFR Panel. Their role is to give public health advice in relation to clinical appropriateness, clinical and cost effectiveness of </w:t>
      </w:r>
      <w:r w:rsidRPr="0062464A" w:rsidR="00856452">
        <w:rPr>
          <w:rFonts w:ascii="Arial" w:hAnsi="Arial" w:cs="Arial"/>
        </w:rPr>
        <w:t>treatment</w:t>
      </w:r>
      <w:r w:rsidRPr="0062464A">
        <w:rPr>
          <w:rFonts w:ascii="Arial" w:hAnsi="Arial" w:cs="Arial"/>
        </w:rPr>
        <w:t>. They</w:t>
      </w:r>
      <w:r>
        <w:rPr>
          <w:rFonts w:ascii="Arial" w:hAnsi="Arial" w:cs="Arial"/>
        </w:rPr>
        <w:t xml:space="preserve"> </w:t>
      </w:r>
      <w:r w:rsidRPr="0062464A">
        <w:rPr>
          <w:rFonts w:ascii="Arial" w:hAnsi="Arial" w:cs="Arial"/>
        </w:rPr>
        <w:t>assess the quality and applicability of the presenting evidence</w:t>
      </w:r>
      <w:r>
        <w:rPr>
          <w:rFonts w:ascii="Arial" w:hAnsi="Arial" w:cs="Arial"/>
        </w:rPr>
        <w:t xml:space="preserve">, </w:t>
      </w:r>
      <w:r w:rsidRPr="0062464A">
        <w:rPr>
          <w:rFonts w:ascii="Arial" w:hAnsi="Arial" w:cs="Arial"/>
        </w:rPr>
        <w:t xml:space="preserve">perform systematic reviews of the </w:t>
      </w:r>
      <w:proofErr w:type="gramStart"/>
      <w:r w:rsidRPr="0062464A">
        <w:rPr>
          <w:rFonts w:ascii="Arial" w:hAnsi="Arial" w:cs="Arial"/>
        </w:rPr>
        <w:t>literature</w:t>
      </w:r>
      <w:proofErr w:type="gramEnd"/>
      <w:r w:rsidRPr="0062464A">
        <w:rPr>
          <w:rFonts w:ascii="Arial" w:hAnsi="Arial" w:cs="Arial"/>
        </w:rPr>
        <w:t xml:space="preserve"> and perform individual case reviews based on clinical evidence. Public Health consultants/Associate Medical Directors will interface with the </w:t>
      </w:r>
      <w:r>
        <w:rPr>
          <w:rFonts w:ascii="Arial" w:hAnsi="Arial" w:cs="Arial"/>
        </w:rPr>
        <w:t>Central East</w:t>
      </w:r>
      <w:r w:rsidRPr="0062464A">
        <w:rPr>
          <w:rFonts w:ascii="Arial" w:hAnsi="Arial" w:cs="Arial"/>
        </w:rPr>
        <w:t xml:space="preserve"> ICB Clinical Policies Group and Area Prescribing Committee.</w:t>
      </w:r>
    </w:p>
    <w:p w:rsidRPr="0062464A" w:rsidR="0026695D" w:rsidP="0026695D" w:rsidRDefault="0026695D" w14:paraId="21383A0C" w14:textId="77777777">
      <w:pPr>
        <w:rPr>
          <w:rFonts w:ascii="Arial" w:hAnsi="Arial" w:cs="Arial"/>
        </w:rPr>
      </w:pPr>
      <w:r>
        <w:rPr>
          <w:rFonts w:ascii="Arial" w:hAnsi="Arial" w:cs="Arial"/>
          <w:b/>
          <w:bCs/>
        </w:rPr>
        <w:t xml:space="preserve">Senior / Lead </w:t>
      </w:r>
      <w:r w:rsidRPr="00B92306">
        <w:rPr>
          <w:rFonts w:ascii="Arial" w:hAnsi="Arial" w:cs="Arial"/>
          <w:b/>
          <w:bCs/>
        </w:rPr>
        <w:t>Pharmaceutical Advisor</w:t>
      </w:r>
      <w:r>
        <w:rPr>
          <w:rFonts w:ascii="Arial" w:hAnsi="Arial" w:cs="Arial"/>
          <w:b/>
          <w:bCs/>
        </w:rPr>
        <w:t>s</w:t>
      </w:r>
      <w:r w:rsidRPr="0062464A">
        <w:rPr>
          <w:rFonts w:ascii="Arial" w:hAnsi="Arial" w:cs="Arial"/>
        </w:rPr>
        <w:t xml:space="preserve"> - Provide specialist pharmaceutical support and advice concerning drug IFR cases including efficacy, safety, clinical and cost effectiveness to the IFR team, screening group </w:t>
      </w:r>
      <w:proofErr w:type="gramStart"/>
      <w:r w:rsidRPr="0062464A">
        <w:rPr>
          <w:rFonts w:ascii="Arial" w:hAnsi="Arial" w:cs="Arial"/>
        </w:rPr>
        <w:t>meetings</w:t>
      </w:r>
      <w:proofErr w:type="gramEnd"/>
      <w:r w:rsidRPr="0062464A">
        <w:rPr>
          <w:rFonts w:ascii="Arial" w:hAnsi="Arial" w:cs="Arial"/>
        </w:rPr>
        <w:t xml:space="preserve"> and IFR Panel. </w:t>
      </w:r>
    </w:p>
    <w:p w:rsidRPr="0062464A" w:rsidR="0026695D" w:rsidP="0026695D" w:rsidRDefault="0026695D" w14:paraId="051791EA" w14:textId="0E1FD492">
      <w:pPr>
        <w:rPr>
          <w:rFonts w:ascii="Arial" w:hAnsi="Arial" w:cs="Arial"/>
        </w:rPr>
      </w:pPr>
      <w:r w:rsidRPr="000F7E7B">
        <w:rPr>
          <w:rFonts w:ascii="Arial" w:hAnsi="Arial" w:cs="Arial"/>
          <w:b/>
          <w:bCs/>
        </w:rPr>
        <w:t xml:space="preserve">GP </w:t>
      </w:r>
      <w:r w:rsidR="00856452">
        <w:rPr>
          <w:rFonts w:ascii="Arial" w:hAnsi="Arial" w:cs="Arial"/>
          <w:b/>
          <w:bCs/>
        </w:rPr>
        <w:t xml:space="preserve">Advisors / </w:t>
      </w:r>
      <w:r w:rsidRPr="000F7E7B">
        <w:rPr>
          <w:rFonts w:ascii="Arial" w:hAnsi="Arial" w:cs="Arial"/>
          <w:b/>
          <w:bCs/>
        </w:rPr>
        <w:t xml:space="preserve">Clinical Leads </w:t>
      </w:r>
      <w:r w:rsidRPr="0062464A">
        <w:rPr>
          <w:rFonts w:ascii="Arial" w:hAnsi="Arial" w:cs="Arial"/>
        </w:rPr>
        <w:t>– Practicing GPs who</w:t>
      </w:r>
      <w:r>
        <w:rPr>
          <w:rFonts w:ascii="Arial" w:hAnsi="Arial" w:cs="Arial"/>
        </w:rPr>
        <w:t xml:space="preserve"> may</w:t>
      </w:r>
      <w:r w:rsidRPr="0062464A">
        <w:rPr>
          <w:rFonts w:ascii="Arial" w:hAnsi="Arial" w:cs="Arial"/>
        </w:rPr>
        <w:t xml:space="preserve"> provide clinical support and advice to the </w:t>
      </w:r>
      <w:r>
        <w:rPr>
          <w:rFonts w:ascii="Arial" w:hAnsi="Arial" w:cs="Arial"/>
        </w:rPr>
        <w:t>IFR Team during clinical triage,</w:t>
      </w:r>
      <w:r w:rsidRPr="0062464A">
        <w:rPr>
          <w:rFonts w:ascii="Arial" w:hAnsi="Arial" w:cs="Arial"/>
        </w:rPr>
        <w:t xml:space="preserve"> </w:t>
      </w:r>
      <w:r>
        <w:rPr>
          <w:rFonts w:ascii="Arial" w:hAnsi="Arial" w:cs="Arial"/>
        </w:rPr>
        <w:t>screening</w:t>
      </w:r>
      <w:r w:rsidRPr="0062464A">
        <w:rPr>
          <w:rFonts w:ascii="Arial" w:hAnsi="Arial" w:cs="Arial"/>
        </w:rPr>
        <w:t xml:space="preserve"> IFR Panel. Will contribute to the Clinical Policies Group and clinical pathway workstreams. </w:t>
      </w:r>
    </w:p>
    <w:p w:rsidRPr="0062464A" w:rsidR="00A209C3" w:rsidP="00A209C3" w:rsidRDefault="00A209C3" w14:paraId="0A8CF453" w14:textId="14C7D58B">
      <w:pPr>
        <w:rPr>
          <w:rFonts w:ascii="Arial" w:hAnsi="Arial" w:cs="Arial"/>
        </w:rPr>
      </w:pPr>
      <w:r w:rsidRPr="000F7E7B">
        <w:rPr>
          <w:rFonts w:ascii="Arial" w:hAnsi="Arial" w:cs="Arial"/>
          <w:b/>
          <w:bCs/>
        </w:rPr>
        <w:t>IFR Screening Group</w:t>
      </w:r>
      <w:r w:rsidRPr="6F87A5EE">
        <w:rPr>
          <w:rFonts w:ascii="Arial" w:hAnsi="Arial" w:cs="Arial"/>
        </w:rPr>
        <w:t xml:space="preserve"> – The screening group includes the </w:t>
      </w:r>
      <w:r w:rsidR="00183F8B">
        <w:rPr>
          <w:rFonts w:ascii="Arial" w:hAnsi="Arial" w:cs="Arial"/>
        </w:rPr>
        <w:t>Senior Manager or Manager for Prior Approval and Exceptional Cases, Associate Director/</w:t>
      </w:r>
      <w:r w:rsidRPr="6F87A5EE">
        <w:rPr>
          <w:rFonts w:ascii="Arial" w:hAnsi="Arial" w:cs="Arial"/>
        </w:rPr>
        <w:t>Public Health Consultant or Clinical Lead, Pharmaceutical Advisor (for drug requests</w:t>
      </w:r>
      <w:proofErr w:type="gramStart"/>
      <w:r w:rsidRPr="6F87A5EE">
        <w:rPr>
          <w:rFonts w:ascii="Arial" w:hAnsi="Arial" w:cs="Arial"/>
        </w:rPr>
        <w:t>)</w:t>
      </w:r>
      <w:proofErr w:type="gramEnd"/>
      <w:r w:rsidRPr="6F87A5EE">
        <w:rPr>
          <w:rFonts w:ascii="Arial" w:hAnsi="Arial" w:cs="Arial"/>
        </w:rPr>
        <w:t xml:space="preserve"> or Commissioning Leads in an advisory role for cases relating to their commissioning responsibilities. The purpose of the screening group is to determine whether an application is appropriate to </w:t>
      </w:r>
      <w:proofErr w:type="gramStart"/>
      <w:r w:rsidRPr="6F87A5EE">
        <w:rPr>
          <w:rFonts w:ascii="Arial" w:hAnsi="Arial" w:cs="Arial"/>
        </w:rPr>
        <w:t>be considered</w:t>
      </w:r>
      <w:proofErr w:type="gramEnd"/>
      <w:r w:rsidRPr="6F87A5EE">
        <w:rPr>
          <w:rFonts w:ascii="Arial" w:hAnsi="Arial" w:cs="Arial"/>
        </w:rPr>
        <w:t xml:space="preserve"> as an IFR. This includes considering whether the ICB is the relevant commissioner and whether the applicant </w:t>
      </w:r>
      <w:proofErr w:type="gramStart"/>
      <w:r w:rsidRPr="6F87A5EE">
        <w:rPr>
          <w:rFonts w:ascii="Arial" w:hAnsi="Arial" w:cs="Arial"/>
        </w:rPr>
        <w:t>appears to present</w:t>
      </w:r>
      <w:proofErr w:type="gramEnd"/>
      <w:r w:rsidRPr="6F87A5EE">
        <w:rPr>
          <w:rFonts w:ascii="Arial" w:hAnsi="Arial" w:cs="Arial"/>
        </w:rPr>
        <w:t xml:space="preserve"> an arguable case for the clinical exceptionality of their patient compared with other patients with the condition. If the screening process determines that the request is not a service development (i.e., that patient is not part of a wider group who could equally benefit from the treatment) and there is sufficient information to consider the case, the screening group will then determine whether the documentation sets out a clearly presented and arguable basis for how the request meets the IFR policy criteria. If it does, the case will be progressed to the IFR panel. The screening group also ensures that all relevant information </w:t>
      </w:r>
      <w:proofErr w:type="gramStart"/>
      <w:r w:rsidRPr="6F87A5EE">
        <w:rPr>
          <w:rFonts w:ascii="Arial" w:hAnsi="Arial" w:cs="Arial"/>
        </w:rPr>
        <w:t>is sought</w:t>
      </w:r>
      <w:proofErr w:type="gramEnd"/>
      <w:r w:rsidRPr="6F87A5EE">
        <w:rPr>
          <w:rFonts w:ascii="Arial" w:hAnsi="Arial" w:cs="Arial"/>
        </w:rPr>
        <w:t xml:space="preserve"> ahead of panel. This applies to new requests and appeals for reconsideration of a declined request. </w:t>
      </w:r>
    </w:p>
    <w:p w:rsidR="00A209C3" w:rsidP="00A209C3" w:rsidRDefault="00A209C3" w14:paraId="5C85DB55" w14:textId="77777777">
      <w:pPr>
        <w:rPr>
          <w:rFonts w:ascii="Arial" w:hAnsi="Arial" w:cs="Arial"/>
        </w:rPr>
      </w:pPr>
      <w:r w:rsidRPr="0062464A">
        <w:rPr>
          <w:rFonts w:ascii="Arial" w:hAnsi="Arial" w:cs="Arial"/>
        </w:rPr>
        <w:t xml:space="preserve">The screening group will report any significant issues and risks arising to the </w:t>
      </w:r>
      <w:r>
        <w:rPr>
          <w:rFonts w:ascii="Arial" w:hAnsi="Arial" w:cs="Arial"/>
        </w:rPr>
        <w:t>Central East ICB Utilisation Management &amp; Quality Improvement Committee</w:t>
      </w:r>
      <w:r w:rsidRPr="0062464A">
        <w:rPr>
          <w:rFonts w:ascii="Arial" w:hAnsi="Arial" w:cs="Arial"/>
        </w:rPr>
        <w:t xml:space="preserve"> or any issues relating to clinical policy </w:t>
      </w:r>
      <w:r>
        <w:rPr>
          <w:rFonts w:ascii="Arial" w:hAnsi="Arial" w:cs="Arial"/>
        </w:rPr>
        <w:t xml:space="preserve">or prescribing guidelines </w:t>
      </w:r>
      <w:r w:rsidRPr="0062464A">
        <w:rPr>
          <w:rFonts w:ascii="Arial" w:hAnsi="Arial" w:cs="Arial"/>
        </w:rPr>
        <w:t>to the Clinical Policies Group or APC.</w:t>
      </w:r>
      <w:r w:rsidRPr="00B92306">
        <w:rPr>
          <w:rFonts w:ascii="Arial" w:hAnsi="Arial" w:cs="Arial"/>
        </w:rPr>
        <w:t xml:space="preserve"> </w:t>
      </w:r>
      <w:r w:rsidRPr="0062464A">
        <w:rPr>
          <w:rFonts w:ascii="Arial" w:hAnsi="Arial" w:cs="Arial"/>
        </w:rPr>
        <w:t>The Screening Group will make decisions in line with this IFR policy, the Standard Operating Procedures, and the Screening Group terms of reference.</w:t>
      </w:r>
    </w:p>
    <w:p w:rsidRPr="0062464A" w:rsidR="0027671D" w:rsidP="0027671D" w:rsidRDefault="008C0C63" w14:paraId="35AAF0F1" w14:textId="64F0E1C1">
      <w:pPr>
        <w:rPr>
          <w:rFonts w:ascii="Arial" w:hAnsi="Arial" w:cs="Arial"/>
        </w:rPr>
      </w:pPr>
      <w:r w:rsidRPr="008C0C63">
        <w:rPr>
          <w:rFonts w:ascii="Arial" w:hAnsi="Arial" w:cs="Arial"/>
          <w:b/>
          <w:bCs/>
        </w:rPr>
        <w:t>Clinical Policies and Exceptional Cases</w:t>
      </w:r>
      <w:r w:rsidRPr="008C0C63">
        <w:rPr>
          <w:rFonts w:ascii="Arial" w:hAnsi="Arial" w:cs="Arial"/>
        </w:rPr>
        <w:t xml:space="preserve"> </w:t>
      </w:r>
      <w:r w:rsidRPr="008C0C63">
        <w:rPr>
          <w:rFonts w:ascii="Arial" w:hAnsi="Arial" w:cs="Arial"/>
          <w:b/>
          <w:bCs/>
        </w:rPr>
        <w:t>Team</w:t>
      </w:r>
      <w:r>
        <w:rPr>
          <w:rFonts w:ascii="Arial" w:hAnsi="Arial" w:cs="Arial"/>
        </w:rPr>
        <w:t xml:space="preserve"> – Lead </w:t>
      </w:r>
      <w:r w:rsidR="000954D1">
        <w:rPr>
          <w:rFonts w:ascii="Arial" w:hAnsi="Arial" w:cs="Arial"/>
        </w:rPr>
        <w:t xml:space="preserve">by </w:t>
      </w:r>
      <w:r w:rsidR="00632871">
        <w:rPr>
          <w:rFonts w:ascii="Arial" w:hAnsi="Arial" w:cs="Arial"/>
        </w:rPr>
        <w:t xml:space="preserve">a Senior Manager for </w:t>
      </w:r>
      <w:r w:rsidRPr="00E85BD3" w:rsidR="00E85BD3">
        <w:rPr>
          <w:rFonts w:ascii="Arial" w:hAnsi="Arial" w:cs="Arial"/>
        </w:rPr>
        <w:t>Clinical Policies, Audit and Effectiveness</w:t>
      </w:r>
      <w:r w:rsidR="00E85BD3">
        <w:rPr>
          <w:rFonts w:ascii="Arial" w:hAnsi="Arial" w:cs="Arial"/>
        </w:rPr>
        <w:t xml:space="preserve"> and a Senior Manager for </w:t>
      </w:r>
      <w:r w:rsidRPr="00B82047" w:rsidR="00B82047">
        <w:rPr>
          <w:rFonts w:ascii="Arial" w:hAnsi="Arial" w:cs="Arial"/>
        </w:rPr>
        <w:t>Prior Approval and Exceptional Cases</w:t>
      </w:r>
      <w:r w:rsidR="00B82047">
        <w:rPr>
          <w:rFonts w:ascii="Arial" w:hAnsi="Arial" w:cs="Arial"/>
        </w:rPr>
        <w:t xml:space="preserve"> and supported by</w:t>
      </w:r>
      <w:r w:rsidR="00D1561A">
        <w:rPr>
          <w:rFonts w:ascii="Arial" w:hAnsi="Arial" w:cs="Arial"/>
        </w:rPr>
        <w:t xml:space="preserve"> managers, </w:t>
      </w:r>
      <w:proofErr w:type="gramStart"/>
      <w:r w:rsidR="00D1561A">
        <w:rPr>
          <w:rFonts w:ascii="Arial" w:hAnsi="Arial" w:cs="Arial"/>
        </w:rPr>
        <w:t>officers</w:t>
      </w:r>
      <w:proofErr w:type="gramEnd"/>
      <w:r w:rsidR="00D1561A">
        <w:rPr>
          <w:rFonts w:ascii="Arial" w:hAnsi="Arial" w:cs="Arial"/>
        </w:rPr>
        <w:t xml:space="preserve"> and senior administrative assistants</w:t>
      </w:r>
      <w:r w:rsidR="006F44B9">
        <w:rPr>
          <w:rFonts w:ascii="Arial" w:hAnsi="Arial" w:cs="Arial"/>
        </w:rPr>
        <w:t xml:space="preserve"> this team </w:t>
      </w:r>
      <w:r w:rsidR="003A6AAA">
        <w:rPr>
          <w:rFonts w:ascii="Arial" w:hAnsi="Arial" w:cs="Arial"/>
        </w:rPr>
        <w:t>is collectively responsible for the day to day processing of Prior Approval and IFR applications</w:t>
      </w:r>
      <w:r w:rsidR="006303A2">
        <w:rPr>
          <w:rFonts w:ascii="Arial" w:hAnsi="Arial" w:cs="Arial"/>
        </w:rPr>
        <w:t xml:space="preserve"> and</w:t>
      </w:r>
      <w:r w:rsidR="003A6AAA">
        <w:rPr>
          <w:rFonts w:ascii="Arial" w:hAnsi="Arial" w:cs="Arial"/>
        </w:rPr>
        <w:t xml:space="preserve"> </w:t>
      </w:r>
      <w:r w:rsidR="00E14A3D">
        <w:rPr>
          <w:rFonts w:ascii="Arial" w:hAnsi="Arial" w:cs="Arial"/>
        </w:rPr>
        <w:t xml:space="preserve">communicating with the applicants. </w:t>
      </w:r>
      <w:r w:rsidRPr="00E14A3D" w:rsidR="00E14A3D">
        <w:rPr>
          <w:rFonts w:ascii="Arial" w:hAnsi="Arial" w:cs="Arial"/>
        </w:rPr>
        <w:t>Ensuring that</w:t>
      </w:r>
      <w:r w:rsidR="00136861">
        <w:rPr>
          <w:rFonts w:ascii="Arial" w:hAnsi="Arial" w:cs="Arial"/>
        </w:rPr>
        <w:t xml:space="preserve"> clinical</w:t>
      </w:r>
      <w:r w:rsidRPr="00E14A3D" w:rsidR="00E14A3D">
        <w:rPr>
          <w:rFonts w:ascii="Arial" w:hAnsi="Arial" w:cs="Arial"/>
        </w:rPr>
        <w:t xml:space="preserve"> decisions are evidence-based, legally robust, and aligned with </w:t>
      </w:r>
      <w:r w:rsidR="00136861">
        <w:rPr>
          <w:rFonts w:ascii="Arial" w:hAnsi="Arial" w:cs="Arial"/>
        </w:rPr>
        <w:t>this policy</w:t>
      </w:r>
      <w:r w:rsidR="00B3065F">
        <w:rPr>
          <w:rFonts w:ascii="Arial" w:hAnsi="Arial" w:cs="Arial"/>
        </w:rPr>
        <w:t xml:space="preserve"> and </w:t>
      </w:r>
      <w:r w:rsidR="00E14A3D">
        <w:rPr>
          <w:rFonts w:ascii="Arial" w:hAnsi="Arial" w:cs="Arial"/>
        </w:rPr>
        <w:t>local</w:t>
      </w:r>
      <w:r w:rsidR="00B3065F">
        <w:rPr>
          <w:rFonts w:ascii="Arial" w:hAnsi="Arial" w:cs="Arial"/>
        </w:rPr>
        <w:t>/</w:t>
      </w:r>
      <w:r w:rsidRPr="00E14A3D" w:rsidR="00E14A3D">
        <w:rPr>
          <w:rFonts w:ascii="Arial" w:hAnsi="Arial" w:cs="Arial"/>
        </w:rPr>
        <w:t>national</w:t>
      </w:r>
      <w:r w:rsidR="00B3065F">
        <w:rPr>
          <w:rFonts w:ascii="Arial" w:hAnsi="Arial" w:cs="Arial"/>
        </w:rPr>
        <w:t xml:space="preserve"> clinical</w:t>
      </w:r>
      <w:r w:rsidRPr="00E14A3D" w:rsidR="00E14A3D">
        <w:rPr>
          <w:rFonts w:ascii="Arial" w:hAnsi="Arial" w:cs="Arial"/>
        </w:rPr>
        <w:t xml:space="preserve"> guidance</w:t>
      </w:r>
      <w:r w:rsidR="00E14A3D">
        <w:rPr>
          <w:rFonts w:ascii="Arial" w:hAnsi="Arial" w:cs="Arial"/>
        </w:rPr>
        <w:t xml:space="preserve"> and policies, </w:t>
      </w:r>
      <w:r w:rsidR="004F095E">
        <w:rPr>
          <w:rFonts w:ascii="Arial" w:hAnsi="Arial" w:cs="Arial"/>
        </w:rPr>
        <w:t xml:space="preserve">facilitating the IFR Panel and Clinical Policies Group and representing the team in these groups. </w:t>
      </w:r>
      <w:r w:rsidRPr="006303A2" w:rsidR="006303A2">
        <w:rPr>
          <w:rFonts w:ascii="Arial" w:hAnsi="Arial" w:cs="Arial"/>
        </w:rPr>
        <w:t>Lead on the development, implementation, and oversight of clinical commissioning policie</w:t>
      </w:r>
      <w:r w:rsidR="00B43227">
        <w:rPr>
          <w:rFonts w:ascii="Arial" w:hAnsi="Arial" w:cs="Arial"/>
        </w:rPr>
        <w:t>s</w:t>
      </w:r>
      <w:r w:rsidR="00CD4FA1">
        <w:rPr>
          <w:rFonts w:ascii="Arial" w:hAnsi="Arial" w:cs="Arial"/>
        </w:rPr>
        <w:t xml:space="preserve"> and</w:t>
      </w:r>
      <w:r w:rsidR="004F095E">
        <w:rPr>
          <w:rFonts w:ascii="Arial" w:hAnsi="Arial" w:cs="Arial"/>
        </w:rPr>
        <w:t xml:space="preserve"> the clinical audit and effectiveness process</w:t>
      </w:r>
      <w:r w:rsidR="006303A2">
        <w:rPr>
          <w:rFonts w:ascii="Arial" w:hAnsi="Arial" w:cs="Arial"/>
        </w:rPr>
        <w:t>.</w:t>
      </w:r>
      <w:r w:rsidR="00B43227">
        <w:rPr>
          <w:rFonts w:ascii="Arial" w:hAnsi="Arial" w:cs="Arial"/>
        </w:rPr>
        <w:t xml:space="preserve"> </w:t>
      </w:r>
      <w:r w:rsidRPr="006303A2" w:rsidR="00B43227">
        <w:rPr>
          <w:rFonts w:ascii="Arial" w:hAnsi="Arial" w:cs="Arial"/>
        </w:rPr>
        <w:t xml:space="preserve">Report activity and escalate issues or concerns to the Associate Director or </w:t>
      </w:r>
      <w:r w:rsidR="00B43227">
        <w:rPr>
          <w:rFonts w:ascii="Arial" w:hAnsi="Arial" w:cs="Arial"/>
        </w:rPr>
        <w:t>IFR Panel or Clinical Po</w:t>
      </w:r>
      <w:r w:rsidR="00136861">
        <w:rPr>
          <w:rFonts w:ascii="Arial" w:hAnsi="Arial" w:cs="Arial"/>
        </w:rPr>
        <w:t>licies Group</w:t>
      </w:r>
      <w:r w:rsidRPr="006303A2" w:rsidR="00B43227">
        <w:rPr>
          <w:rFonts w:ascii="Arial" w:hAnsi="Arial" w:cs="Arial"/>
        </w:rPr>
        <w:t xml:space="preserve"> as appropriate. </w:t>
      </w:r>
      <w:r w:rsidR="00136861">
        <w:rPr>
          <w:rFonts w:ascii="Arial" w:hAnsi="Arial" w:cs="Arial"/>
        </w:rPr>
        <w:t>R</w:t>
      </w:r>
      <w:r w:rsidRPr="006303A2" w:rsidR="00136861">
        <w:rPr>
          <w:rFonts w:ascii="Arial" w:hAnsi="Arial" w:cs="Arial"/>
        </w:rPr>
        <w:t xml:space="preserve">eview processes </w:t>
      </w:r>
      <w:r w:rsidR="00136861">
        <w:rPr>
          <w:rFonts w:ascii="Arial" w:hAnsi="Arial" w:cs="Arial"/>
        </w:rPr>
        <w:t>and i</w:t>
      </w:r>
      <w:r w:rsidRPr="006303A2" w:rsidR="006303A2">
        <w:rPr>
          <w:rFonts w:ascii="Arial" w:hAnsi="Arial" w:cs="Arial"/>
        </w:rPr>
        <w:t>mplement changes to enhance the team’s efficiency and effectiveness.</w:t>
      </w:r>
    </w:p>
    <w:p w:rsidRPr="0062464A" w:rsidR="00DE0691" w:rsidP="00DE0691" w:rsidRDefault="00DE0691" w14:paraId="11FA989F" w14:textId="738CCCF4">
      <w:pPr>
        <w:rPr>
          <w:rFonts w:ascii="Arial" w:hAnsi="Arial" w:cs="Arial"/>
        </w:rPr>
      </w:pPr>
      <w:r w:rsidRPr="6F87A5EE">
        <w:rPr>
          <w:rFonts w:ascii="Arial" w:hAnsi="Arial" w:cs="Arial"/>
          <w:b/>
          <w:bCs/>
        </w:rPr>
        <w:t>Applicants</w:t>
      </w:r>
      <w:r w:rsidRPr="6F87A5EE">
        <w:rPr>
          <w:rFonts w:ascii="Arial" w:hAnsi="Arial" w:cs="Arial"/>
        </w:rPr>
        <w:t xml:space="preserve"> - Applications must </w:t>
      </w:r>
      <w:proofErr w:type="gramStart"/>
      <w:r w:rsidRPr="6F87A5EE">
        <w:rPr>
          <w:rFonts w:ascii="Arial" w:hAnsi="Arial" w:cs="Arial"/>
        </w:rPr>
        <w:t>be made</w:t>
      </w:r>
      <w:proofErr w:type="gramEnd"/>
      <w:r w:rsidRPr="6F87A5EE">
        <w:rPr>
          <w:rFonts w:ascii="Arial" w:hAnsi="Arial" w:cs="Arial"/>
        </w:rPr>
        <w:t xml:space="preserve"> by appropriate </w:t>
      </w:r>
      <w:r w:rsidRPr="6F87A5EE" w:rsidR="00315102">
        <w:rPr>
          <w:rFonts w:ascii="Arial" w:hAnsi="Arial" w:cs="Arial"/>
        </w:rPr>
        <w:t xml:space="preserve">secondary/tertiary care </w:t>
      </w:r>
      <w:r w:rsidR="00315102">
        <w:rPr>
          <w:rFonts w:ascii="Arial" w:hAnsi="Arial" w:cs="Arial"/>
        </w:rPr>
        <w:t xml:space="preserve">specialist </w:t>
      </w:r>
      <w:r w:rsidRPr="6F87A5EE">
        <w:rPr>
          <w:rFonts w:ascii="Arial" w:hAnsi="Arial" w:cs="Arial"/>
        </w:rPr>
        <w:t xml:space="preserve">NHS clinicians who have in depth knowledge of the patient clinical picture and proposed treatment. This </w:t>
      </w:r>
      <w:r w:rsidR="00AB2E8B">
        <w:rPr>
          <w:rFonts w:ascii="Arial" w:hAnsi="Arial" w:cs="Arial"/>
        </w:rPr>
        <w:t>should be</w:t>
      </w:r>
      <w:r w:rsidR="00D77975">
        <w:rPr>
          <w:rFonts w:ascii="Arial" w:hAnsi="Arial" w:cs="Arial"/>
        </w:rPr>
        <w:t xml:space="preserve"> an NHS</w:t>
      </w:r>
      <w:r w:rsidRPr="6F87A5EE">
        <w:rPr>
          <w:rFonts w:ascii="Arial" w:hAnsi="Arial" w:cs="Arial"/>
        </w:rPr>
        <w:t xml:space="preserve"> Consultant </w:t>
      </w:r>
      <w:r w:rsidR="00D77975">
        <w:rPr>
          <w:rFonts w:ascii="Arial" w:hAnsi="Arial" w:cs="Arial"/>
        </w:rPr>
        <w:t xml:space="preserve">or other highly specialist </w:t>
      </w:r>
      <w:r w:rsidRPr="6F87A5EE">
        <w:rPr>
          <w:rFonts w:ascii="Arial" w:hAnsi="Arial" w:cs="Arial"/>
        </w:rPr>
        <w:t>healthcare professional applying appropriately within their scope of expertise. For High-Cost Drug related IFRs, the application must come from the NHS Consultant or Specialist Team responsible for their care</w:t>
      </w:r>
      <w:proofErr w:type="gramStart"/>
      <w:r w:rsidRPr="6F87A5EE">
        <w:rPr>
          <w:rFonts w:ascii="Arial" w:hAnsi="Arial" w:cs="Arial"/>
        </w:rPr>
        <w:t xml:space="preserve">.  </w:t>
      </w:r>
      <w:proofErr w:type="gramEnd"/>
    </w:p>
    <w:p w:rsidRPr="0062464A" w:rsidR="00DE0691" w:rsidP="00DE0691" w:rsidRDefault="00315102" w14:paraId="55BDD650" w14:textId="73AA1529">
      <w:pPr>
        <w:rPr>
          <w:rFonts w:ascii="Arial" w:hAnsi="Arial" w:cs="Arial"/>
        </w:rPr>
      </w:pPr>
      <w:r>
        <w:rPr>
          <w:rFonts w:ascii="Arial" w:hAnsi="Arial" w:cs="Arial"/>
        </w:rPr>
        <w:t>G</w:t>
      </w:r>
      <w:r w:rsidRPr="6F87A5EE" w:rsidR="00DE0691">
        <w:rPr>
          <w:rFonts w:ascii="Arial" w:hAnsi="Arial" w:cs="Arial"/>
        </w:rPr>
        <w:t>iven the grounds for clinical exceptionality and the complexity of such requests</w:t>
      </w:r>
      <w:r w:rsidR="00A77351">
        <w:rPr>
          <w:rFonts w:ascii="Arial" w:hAnsi="Arial" w:cs="Arial"/>
        </w:rPr>
        <w:t xml:space="preserve"> we would not expect IFR applications to </w:t>
      </w:r>
      <w:proofErr w:type="gramStart"/>
      <w:r w:rsidR="00A77351">
        <w:rPr>
          <w:rFonts w:ascii="Arial" w:hAnsi="Arial" w:cs="Arial"/>
        </w:rPr>
        <w:t>be made</w:t>
      </w:r>
      <w:proofErr w:type="gramEnd"/>
      <w:r w:rsidR="00A77351">
        <w:rPr>
          <w:rFonts w:ascii="Arial" w:hAnsi="Arial" w:cs="Arial"/>
        </w:rPr>
        <w:t xml:space="preserve"> by</w:t>
      </w:r>
      <w:r w:rsidRPr="6F87A5EE" w:rsidR="00DE0691">
        <w:rPr>
          <w:rFonts w:ascii="Arial" w:hAnsi="Arial" w:cs="Arial"/>
        </w:rPr>
        <w:t xml:space="preserve"> GP</w:t>
      </w:r>
      <w:r w:rsidR="00A77351">
        <w:rPr>
          <w:rFonts w:ascii="Arial" w:hAnsi="Arial" w:cs="Arial"/>
        </w:rPr>
        <w:t>s.</w:t>
      </w:r>
      <w:r w:rsidRPr="6F87A5EE" w:rsidR="00DE0691">
        <w:rPr>
          <w:rFonts w:ascii="Arial" w:hAnsi="Arial" w:cs="Arial"/>
        </w:rPr>
        <w:t xml:space="preserve"> It is for the same reason that patients cannot apply for their own funding and</w:t>
      </w:r>
      <w:r w:rsidR="008C0C63">
        <w:rPr>
          <w:rFonts w:ascii="Arial" w:hAnsi="Arial" w:cs="Arial"/>
        </w:rPr>
        <w:t xml:space="preserve"> only</w:t>
      </w:r>
      <w:r w:rsidRPr="6F87A5EE" w:rsidR="00DE0691">
        <w:rPr>
          <w:rFonts w:ascii="Arial" w:hAnsi="Arial" w:cs="Arial"/>
        </w:rPr>
        <w:t xml:space="preserve"> an appropriate NHS </w:t>
      </w:r>
      <w:r w:rsidR="008C0C63">
        <w:rPr>
          <w:rFonts w:ascii="Arial" w:hAnsi="Arial" w:cs="Arial"/>
        </w:rPr>
        <w:t xml:space="preserve">specialist </w:t>
      </w:r>
      <w:r w:rsidRPr="6F87A5EE" w:rsidR="00DE0691">
        <w:rPr>
          <w:rFonts w:ascii="Arial" w:hAnsi="Arial" w:cs="Arial"/>
        </w:rPr>
        <w:t xml:space="preserve">clinician can apply on the patient’s behalf if, in their professional opinion, it is appropriate to do so. </w:t>
      </w:r>
      <w:r w:rsidR="00DE0691">
        <w:br/>
      </w:r>
      <w:r w:rsidR="00DE0691">
        <w:br/>
      </w:r>
      <w:r w:rsidRPr="6F87A5EE" w:rsidR="00DE0691">
        <w:rPr>
          <w:rFonts w:ascii="Arial" w:hAnsi="Arial" w:cs="Arial"/>
        </w:rPr>
        <w:t xml:space="preserve">Applicants </w:t>
      </w:r>
      <w:proofErr w:type="gramStart"/>
      <w:r w:rsidRPr="6F87A5EE" w:rsidR="00DE0691">
        <w:rPr>
          <w:rFonts w:ascii="Arial" w:hAnsi="Arial" w:cs="Arial"/>
        </w:rPr>
        <w:t>are expected</w:t>
      </w:r>
      <w:proofErr w:type="gramEnd"/>
      <w:r w:rsidRPr="6F87A5EE" w:rsidR="00DE0691">
        <w:rPr>
          <w:rFonts w:ascii="Arial" w:hAnsi="Arial" w:cs="Arial"/>
        </w:rPr>
        <w:t xml:space="preserve"> to submit a full and complete IFR application form and all necessary </w:t>
      </w:r>
      <w:r w:rsidRPr="6F87A5EE" w:rsidR="00DE0691">
        <w:rPr>
          <w:rFonts w:ascii="Arial" w:hAnsi="Arial" w:cs="Arial"/>
        </w:rPr>
        <w:t xml:space="preserve">supporting evidence. Should the IFR team require further information, it will </w:t>
      </w:r>
      <w:proofErr w:type="gramStart"/>
      <w:r w:rsidRPr="6F87A5EE" w:rsidR="00DE0691">
        <w:rPr>
          <w:rFonts w:ascii="Arial" w:hAnsi="Arial" w:cs="Arial"/>
        </w:rPr>
        <w:t>be requested</w:t>
      </w:r>
      <w:proofErr w:type="gramEnd"/>
      <w:r w:rsidRPr="6F87A5EE" w:rsidR="00DE0691">
        <w:rPr>
          <w:rFonts w:ascii="Arial" w:hAnsi="Arial" w:cs="Arial"/>
        </w:rPr>
        <w:t xml:space="preserve"> from the applicant only. It is the responsibility of the applicant to submit what </w:t>
      </w:r>
      <w:proofErr w:type="gramStart"/>
      <w:r w:rsidRPr="6F87A5EE" w:rsidR="00DE0691">
        <w:rPr>
          <w:rFonts w:ascii="Arial" w:hAnsi="Arial" w:cs="Arial"/>
        </w:rPr>
        <w:t>is required</w:t>
      </w:r>
      <w:proofErr w:type="gramEnd"/>
      <w:r w:rsidRPr="6F87A5EE" w:rsidR="00DE0691">
        <w:rPr>
          <w:rFonts w:ascii="Arial" w:hAnsi="Arial" w:cs="Arial"/>
        </w:rPr>
        <w:t xml:space="preserve"> in line with the timelines specified in the Standard Operating Procedures to avoid delays in patient care. </w:t>
      </w:r>
      <w:r w:rsidR="00847BF2">
        <w:rPr>
          <w:rFonts w:ascii="Arial" w:hAnsi="Arial" w:cs="Arial"/>
          <w:lang w:val="en-GB"/>
        </w:rPr>
        <w:t>Should a clinician believe that a delay in any definitive funding decision may put their patient’s life at risk, they should proceed to treat the patient, but this will be at their own organisation’s financial risk and funding may not be provided.</w:t>
      </w:r>
    </w:p>
    <w:p w:rsidRPr="00D87A65" w:rsidR="00A209C3" w:rsidP="00A50FBA" w:rsidRDefault="00DE0691" w14:paraId="39EF7241" w14:textId="44D10049">
      <w:r w:rsidRPr="6F87A5EE">
        <w:rPr>
          <w:rFonts w:ascii="Arial" w:hAnsi="Arial" w:cs="Arial"/>
          <w:b/>
          <w:bCs/>
        </w:rPr>
        <w:t xml:space="preserve">Patients </w:t>
      </w:r>
      <w:r w:rsidRPr="6F87A5EE">
        <w:rPr>
          <w:rFonts w:ascii="Arial" w:hAnsi="Arial" w:cs="Arial"/>
          <w:b/>
          <w:bCs/>
          <w:color w:val="4F81BD" w:themeColor="accent1"/>
        </w:rPr>
        <w:t xml:space="preserve">- </w:t>
      </w:r>
      <w:r w:rsidRPr="6F87A5EE">
        <w:rPr>
          <w:rFonts w:ascii="Arial" w:hAnsi="Arial" w:cs="Arial"/>
        </w:rPr>
        <w:t xml:space="preserve">The IFR process </w:t>
      </w:r>
      <w:proofErr w:type="gramStart"/>
      <w:r w:rsidRPr="6F87A5EE">
        <w:rPr>
          <w:rFonts w:ascii="Arial" w:hAnsi="Arial" w:cs="Arial"/>
        </w:rPr>
        <w:t xml:space="preserve">is </w:t>
      </w:r>
      <w:r w:rsidRPr="6F87A5EE" w:rsidR="00920447">
        <w:rPr>
          <w:rFonts w:ascii="Arial" w:hAnsi="Arial" w:cs="Arial"/>
        </w:rPr>
        <w:t>clinician-led</w:t>
      </w:r>
      <w:proofErr w:type="gramEnd"/>
      <w:r w:rsidRPr="6F87A5EE">
        <w:rPr>
          <w:rFonts w:ascii="Arial" w:hAnsi="Arial" w:cs="Arial"/>
        </w:rPr>
        <w:t xml:space="preserve">, and all applications must be made by an NHS clinician. Due to the risk of introducing unconscious bias and inequality </w:t>
      </w:r>
      <w:r w:rsidRPr="6F87A5EE" w:rsidR="008076D6">
        <w:rPr>
          <w:rFonts w:ascii="Arial" w:hAnsi="Arial" w:cs="Arial"/>
        </w:rPr>
        <w:t>in</w:t>
      </w:r>
      <w:r w:rsidRPr="6F87A5EE">
        <w:rPr>
          <w:rFonts w:ascii="Arial" w:hAnsi="Arial" w:cs="Arial"/>
        </w:rPr>
        <w:t xml:space="preserve"> decision making, it is not appropriate for patients to submit applications or attend the IFR Panel and Central East ICB is not legally bound to invite them. However, patients can submit a supporting statement. This needs to </w:t>
      </w:r>
      <w:proofErr w:type="gramStart"/>
      <w:r w:rsidRPr="6F87A5EE">
        <w:rPr>
          <w:rFonts w:ascii="Arial" w:hAnsi="Arial" w:cs="Arial"/>
        </w:rPr>
        <w:t>be limited</w:t>
      </w:r>
      <w:proofErr w:type="gramEnd"/>
      <w:r w:rsidRPr="6F87A5EE">
        <w:rPr>
          <w:rFonts w:ascii="Arial" w:hAnsi="Arial" w:cs="Arial"/>
        </w:rPr>
        <w:t xml:space="preserve"> to clinical issues i.e.: what effect the condition has on the patient’s activities of day to day living. </w:t>
      </w:r>
      <w:r w:rsidR="00BE0A35">
        <w:rPr>
          <w:rFonts w:ascii="Arial" w:hAnsi="Arial" w:cs="Arial"/>
        </w:rPr>
        <w:t>F</w:t>
      </w:r>
      <w:r w:rsidRPr="6F87A5EE">
        <w:rPr>
          <w:rFonts w:ascii="Arial" w:hAnsi="Arial" w:cs="Arial"/>
        </w:rPr>
        <w:t xml:space="preserve">urther support can be found at </w:t>
      </w:r>
      <w:hyperlink r:id="rId13">
        <w:r w:rsidRPr="6F87A5EE">
          <w:rPr>
            <w:rStyle w:val="Hyperlink"/>
            <w:rFonts w:ascii="Arial" w:hAnsi="Arial" w:cs="Arial"/>
          </w:rPr>
          <w:t>https://www.nhs.uk/conditions/social-care-and-support-guide/help-from-social-services-and-charities/someone-to-speak-up-for-you-advocate/</w:t>
        </w:r>
      </w:hyperlink>
    </w:p>
    <w:p w:rsidRPr="0062464A" w:rsidR="00BF5FBC" w:rsidP="00BF5FBC" w:rsidRDefault="00BF5FBC" w14:paraId="5A044AD4" w14:textId="2A8BB535">
      <w:pPr>
        <w:pStyle w:val="Heading2"/>
        <w:rPr>
          <w:rFonts w:ascii="Arial" w:hAnsi="Arial" w:cs="Arial"/>
          <w:sz w:val="22"/>
          <w:szCs w:val="22"/>
        </w:rPr>
      </w:pPr>
      <w:r>
        <w:rPr>
          <w:rFonts w:ascii="Arial" w:hAnsi="Arial" w:cs="Arial"/>
          <w:sz w:val="22"/>
          <w:szCs w:val="22"/>
        </w:rPr>
        <w:t xml:space="preserve">7. Appeals </w:t>
      </w:r>
    </w:p>
    <w:p w:rsidR="00765FB5" w:rsidP="00765FB5" w:rsidRDefault="00765FB5" w14:paraId="635C2B9C" w14:textId="77777777">
      <w:pPr>
        <w:spacing w:after="0"/>
        <w:rPr>
          <w:rFonts w:ascii="Arial" w:hAnsi="Arial" w:cs="Arial"/>
          <w:b/>
          <w:bCs/>
        </w:rPr>
      </w:pPr>
    </w:p>
    <w:p w:rsidRPr="00CC423D" w:rsidR="00CC423D" w:rsidP="00765FB5" w:rsidRDefault="00CC423D" w14:paraId="2B62A706" w14:textId="7A1A2664">
      <w:pPr>
        <w:spacing w:after="0"/>
        <w:rPr>
          <w:rFonts w:ascii="Arial" w:hAnsi="Arial" w:cs="Arial"/>
        </w:rPr>
      </w:pPr>
      <w:r w:rsidRPr="00CC423D">
        <w:rPr>
          <w:rFonts w:ascii="Arial" w:hAnsi="Arial" w:cs="Arial"/>
        </w:rPr>
        <w:t>Clinicians can appeal against the decision of the IFR panel on the following grounds</w:t>
      </w:r>
      <w:proofErr w:type="gramStart"/>
      <w:r w:rsidRPr="00CC423D">
        <w:rPr>
          <w:rFonts w:ascii="Arial" w:hAnsi="Arial" w:cs="Arial"/>
        </w:rPr>
        <w:t xml:space="preserve">.  </w:t>
      </w:r>
      <w:proofErr w:type="gramEnd"/>
    </w:p>
    <w:p w:rsidR="00CC423D" w:rsidP="00765FB5" w:rsidRDefault="00CC423D" w14:paraId="02CCF179" w14:textId="77777777">
      <w:pPr>
        <w:spacing w:after="0"/>
        <w:rPr>
          <w:rFonts w:ascii="Arial" w:hAnsi="Arial" w:cs="Arial"/>
          <w:b/>
          <w:bCs/>
        </w:rPr>
      </w:pPr>
    </w:p>
    <w:p w:rsidRPr="00CC423D" w:rsidR="00BF5FBC" w:rsidP="000F7E7B" w:rsidRDefault="00B42F39" w14:paraId="504775F4" w14:textId="1CB83F2C">
      <w:pPr>
        <w:rPr>
          <w:rFonts w:ascii="Arial" w:hAnsi="Arial" w:cs="Arial"/>
          <w:b/>
          <w:bCs/>
          <w:color w:val="4F81BD" w:themeColor="accent1"/>
        </w:rPr>
      </w:pPr>
      <w:r w:rsidRPr="00CC423D">
        <w:rPr>
          <w:rFonts w:ascii="Arial" w:hAnsi="Arial" w:cs="Arial"/>
          <w:b/>
          <w:bCs/>
          <w:color w:val="4F81BD" w:themeColor="accent1"/>
        </w:rPr>
        <w:t xml:space="preserve">7.1 </w:t>
      </w:r>
      <w:r w:rsidRPr="00CC423D" w:rsidR="00BF5FBC">
        <w:rPr>
          <w:rFonts w:ascii="Arial" w:hAnsi="Arial" w:cs="Arial"/>
          <w:b/>
          <w:bCs/>
          <w:color w:val="4F81BD" w:themeColor="accent1"/>
        </w:rPr>
        <w:t xml:space="preserve">Reconsideration Requests </w:t>
      </w:r>
    </w:p>
    <w:p w:rsidRPr="00BF5FBC" w:rsidR="00BF5FBC" w:rsidP="00BF5FBC" w:rsidRDefault="00BF5FBC" w14:paraId="12BFFECE" w14:textId="3C0BC6DB">
      <w:pPr>
        <w:rPr>
          <w:rFonts w:ascii="Arial" w:hAnsi="Arial" w:cs="Arial"/>
        </w:rPr>
      </w:pPr>
      <w:r w:rsidRPr="00BF5FBC">
        <w:rPr>
          <w:rFonts w:ascii="Arial" w:hAnsi="Arial" w:cs="Arial"/>
        </w:rPr>
        <w:t>If a requesting clinician believes they have significant new clinical evidence that they did not provide in their first submission</w:t>
      </w:r>
      <w:r w:rsidR="00CD4FA1">
        <w:rPr>
          <w:rFonts w:ascii="Arial" w:hAnsi="Arial" w:cs="Arial"/>
        </w:rPr>
        <w:t>,</w:t>
      </w:r>
      <w:r w:rsidRPr="00BF5FBC">
        <w:rPr>
          <w:rFonts w:ascii="Arial" w:hAnsi="Arial" w:cs="Arial"/>
        </w:rPr>
        <w:t xml:space="preserve"> which they consider may have made a difference to the decision made if it had been available to the IFR Panel, then the clinician can submit the new clinical evidence and request reconsideration of the decision. The </w:t>
      </w:r>
      <w:r w:rsidR="00806079">
        <w:rPr>
          <w:rFonts w:ascii="Arial" w:hAnsi="Arial" w:cs="Arial"/>
        </w:rPr>
        <w:t xml:space="preserve">request will </w:t>
      </w:r>
      <w:proofErr w:type="gramStart"/>
      <w:r w:rsidR="00806079">
        <w:rPr>
          <w:rFonts w:ascii="Arial" w:hAnsi="Arial" w:cs="Arial"/>
        </w:rPr>
        <w:t>be reviewed</w:t>
      </w:r>
      <w:proofErr w:type="gramEnd"/>
      <w:r w:rsidR="00806079">
        <w:rPr>
          <w:rFonts w:ascii="Arial" w:hAnsi="Arial" w:cs="Arial"/>
        </w:rPr>
        <w:t xml:space="preserve"> </w:t>
      </w:r>
      <w:r w:rsidR="00655030">
        <w:rPr>
          <w:rFonts w:ascii="Arial" w:hAnsi="Arial" w:cs="Arial"/>
        </w:rPr>
        <w:t>through</w:t>
      </w:r>
      <w:r w:rsidR="00806079">
        <w:rPr>
          <w:rFonts w:ascii="Arial" w:hAnsi="Arial" w:cs="Arial"/>
        </w:rPr>
        <w:t xml:space="preserve"> the triage and screening process to identify</w:t>
      </w:r>
      <w:r w:rsidRPr="00BF5FBC">
        <w:rPr>
          <w:rFonts w:ascii="Arial" w:hAnsi="Arial" w:cs="Arial"/>
        </w:rPr>
        <w:t xml:space="preserve"> whether it discloses relevant an</w:t>
      </w:r>
      <w:r w:rsidR="00655030">
        <w:rPr>
          <w:rFonts w:ascii="Arial" w:hAnsi="Arial" w:cs="Arial"/>
        </w:rPr>
        <w:t>d</w:t>
      </w:r>
      <w:r w:rsidRPr="00BF5FBC">
        <w:rPr>
          <w:rFonts w:ascii="Arial" w:hAnsi="Arial" w:cs="Arial"/>
        </w:rPr>
        <w:t xml:space="preserve"> significant material or information which was not originally</w:t>
      </w:r>
      <w:r w:rsidR="00CD4378">
        <w:rPr>
          <w:rFonts w:ascii="Arial" w:hAnsi="Arial" w:cs="Arial"/>
        </w:rPr>
        <w:t xml:space="preserve"> put</w:t>
      </w:r>
      <w:r w:rsidRPr="00BF5FBC">
        <w:rPr>
          <w:rFonts w:ascii="Arial" w:hAnsi="Arial" w:cs="Arial"/>
        </w:rPr>
        <w:t xml:space="preserve"> before the IFR Panel.</w:t>
      </w:r>
      <w:r w:rsidR="00655030">
        <w:rPr>
          <w:rFonts w:ascii="Arial" w:hAnsi="Arial" w:cs="Arial"/>
        </w:rPr>
        <w:t xml:space="preserve"> </w:t>
      </w:r>
      <w:r w:rsidRPr="00BF5FBC">
        <w:rPr>
          <w:rFonts w:ascii="Arial" w:hAnsi="Arial" w:cs="Arial"/>
        </w:rPr>
        <w:t xml:space="preserve">If the </w:t>
      </w:r>
      <w:proofErr w:type="gramStart"/>
      <w:r w:rsidRPr="00BF5FBC">
        <w:rPr>
          <w:rFonts w:ascii="Arial" w:hAnsi="Arial" w:cs="Arial"/>
        </w:rPr>
        <w:t>new information</w:t>
      </w:r>
      <w:proofErr w:type="gramEnd"/>
      <w:r w:rsidRPr="00BF5FBC">
        <w:rPr>
          <w:rFonts w:ascii="Arial" w:hAnsi="Arial" w:cs="Arial"/>
        </w:rPr>
        <w:t xml:space="preserve"> is considered to be material, the case will be presented at the next appropriate IFR Panel.</w:t>
      </w:r>
      <w:r w:rsidR="00806079">
        <w:rPr>
          <w:rFonts w:ascii="Arial" w:hAnsi="Arial" w:cs="Arial"/>
        </w:rPr>
        <w:t xml:space="preserve"> </w:t>
      </w:r>
      <w:r w:rsidRPr="00BF5FBC">
        <w:rPr>
          <w:rFonts w:ascii="Arial" w:hAnsi="Arial" w:cs="Arial"/>
        </w:rPr>
        <w:t xml:space="preserve">If there is no additional information, the case will not </w:t>
      </w:r>
      <w:proofErr w:type="gramStart"/>
      <w:r w:rsidRPr="00BF5FBC">
        <w:rPr>
          <w:rFonts w:ascii="Arial" w:hAnsi="Arial" w:cs="Arial"/>
        </w:rPr>
        <w:t>be re-presented</w:t>
      </w:r>
      <w:proofErr w:type="gramEnd"/>
      <w:r w:rsidRPr="00BF5FBC">
        <w:rPr>
          <w:rFonts w:ascii="Arial" w:hAnsi="Arial" w:cs="Arial"/>
        </w:rPr>
        <w:t xml:space="preserve"> to the IFR Panel for further consideration and the IFR team will write back to the referring clinician explaining this and uphold the IFR Panel decision.</w:t>
      </w:r>
    </w:p>
    <w:p w:rsidRPr="00CC423D" w:rsidR="00BF5FBC" w:rsidP="00BF5FBC" w:rsidRDefault="00B42F39" w14:paraId="6A9ECF2B" w14:textId="16DA2F99">
      <w:pPr>
        <w:rPr>
          <w:rFonts w:ascii="Arial" w:hAnsi="Arial" w:cs="Arial"/>
          <w:b/>
          <w:bCs/>
          <w:color w:val="4F81BD" w:themeColor="accent1"/>
        </w:rPr>
      </w:pPr>
      <w:r w:rsidRPr="00CC423D">
        <w:rPr>
          <w:rFonts w:ascii="Arial" w:hAnsi="Arial" w:cs="Arial"/>
          <w:b/>
          <w:bCs/>
          <w:color w:val="4F81BD" w:themeColor="accent1"/>
        </w:rPr>
        <w:t xml:space="preserve">7.2 </w:t>
      </w:r>
      <w:r w:rsidRPr="00CC423D" w:rsidR="00BF5FBC">
        <w:rPr>
          <w:rFonts w:ascii="Arial" w:hAnsi="Arial" w:cs="Arial"/>
          <w:b/>
          <w:bCs/>
          <w:color w:val="4F81BD" w:themeColor="accent1"/>
        </w:rPr>
        <w:t>Process Reviews</w:t>
      </w:r>
    </w:p>
    <w:p w:rsidR="00BF5FBC" w:rsidP="00BF5FBC" w:rsidRDefault="00BF5FBC" w14:paraId="3E869D3E" w14:textId="0C9532BC">
      <w:pPr>
        <w:rPr>
          <w:rFonts w:ascii="Arial" w:hAnsi="Arial" w:cs="Arial"/>
        </w:rPr>
      </w:pPr>
      <w:r w:rsidRPr="00BF5FBC">
        <w:rPr>
          <w:rFonts w:ascii="Arial" w:hAnsi="Arial" w:cs="Arial"/>
        </w:rPr>
        <w:t>The requesting clinician</w:t>
      </w:r>
      <w:r w:rsidR="00765FB5">
        <w:rPr>
          <w:rFonts w:ascii="Arial" w:hAnsi="Arial" w:cs="Arial"/>
        </w:rPr>
        <w:t xml:space="preserve"> </w:t>
      </w:r>
      <w:r w:rsidRPr="00BF5FBC">
        <w:rPr>
          <w:rFonts w:ascii="Arial" w:hAnsi="Arial" w:cs="Arial"/>
        </w:rPr>
        <w:t xml:space="preserve">may make a request to </w:t>
      </w:r>
      <w:r w:rsidR="00806079">
        <w:rPr>
          <w:rFonts w:ascii="Arial" w:hAnsi="Arial" w:cs="Arial"/>
        </w:rPr>
        <w:t>Central East</w:t>
      </w:r>
      <w:r w:rsidRPr="00BF5FBC">
        <w:rPr>
          <w:rFonts w:ascii="Arial" w:hAnsi="Arial" w:cs="Arial"/>
        </w:rPr>
        <w:t xml:space="preserve"> ICB for a process review of an IFR panel decision</w:t>
      </w:r>
      <w:r w:rsidR="00765FB5">
        <w:rPr>
          <w:rFonts w:ascii="Arial" w:hAnsi="Arial" w:cs="Arial"/>
        </w:rPr>
        <w:t xml:space="preserve"> if they believe due process has not </w:t>
      </w:r>
      <w:proofErr w:type="gramStart"/>
      <w:r w:rsidR="00765FB5">
        <w:rPr>
          <w:rFonts w:ascii="Arial" w:hAnsi="Arial" w:cs="Arial"/>
        </w:rPr>
        <w:t>been followed</w:t>
      </w:r>
      <w:proofErr w:type="gramEnd"/>
      <w:r w:rsidRPr="00BF5FBC">
        <w:rPr>
          <w:rFonts w:ascii="Arial" w:hAnsi="Arial" w:cs="Arial"/>
        </w:rPr>
        <w:t>.</w:t>
      </w:r>
      <w:r w:rsidR="00806079">
        <w:rPr>
          <w:rFonts w:ascii="Arial" w:hAnsi="Arial" w:cs="Arial"/>
        </w:rPr>
        <w:t xml:space="preserve"> </w:t>
      </w:r>
      <w:r w:rsidRPr="00BF5FBC">
        <w:rPr>
          <w:rFonts w:ascii="Arial" w:hAnsi="Arial" w:cs="Arial"/>
        </w:rPr>
        <w:t xml:space="preserve">Such requests must be lodged in writing to the IFR Team within </w:t>
      </w:r>
      <w:proofErr w:type="gramStart"/>
      <w:r w:rsidR="00765FB5">
        <w:rPr>
          <w:rFonts w:ascii="Arial" w:hAnsi="Arial" w:cs="Arial"/>
        </w:rPr>
        <w:t>30</w:t>
      </w:r>
      <w:proofErr w:type="gramEnd"/>
      <w:r w:rsidR="00765FB5">
        <w:rPr>
          <w:rFonts w:ascii="Arial" w:hAnsi="Arial" w:cs="Arial"/>
        </w:rPr>
        <w:t xml:space="preserve"> working days</w:t>
      </w:r>
      <w:r w:rsidRPr="00BF5FBC">
        <w:rPr>
          <w:rFonts w:ascii="Arial" w:hAnsi="Arial" w:cs="Arial"/>
        </w:rPr>
        <w:t xml:space="preserve"> of the date of the letter setting out the IFR Panel decision. </w:t>
      </w:r>
      <w:r w:rsidRPr="00765FB5" w:rsidR="00765FB5">
        <w:rPr>
          <w:rFonts w:ascii="Arial" w:hAnsi="Arial" w:cs="Arial"/>
          <w:lang w:val="en-GB"/>
        </w:rPr>
        <w:t>The</w:t>
      </w:r>
      <w:r w:rsidR="00765FB5">
        <w:rPr>
          <w:rFonts w:ascii="Arial" w:hAnsi="Arial" w:cs="Arial"/>
          <w:lang w:val="en-GB"/>
        </w:rPr>
        <w:t xml:space="preserve"> requesting</w:t>
      </w:r>
      <w:r w:rsidRPr="00765FB5" w:rsidR="00765FB5">
        <w:rPr>
          <w:rFonts w:ascii="Arial" w:hAnsi="Arial" w:cs="Arial"/>
          <w:lang w:val="en-GB"/>
        </w:rPr>
        <w:t xml:space="preserve"> clinician is responsible for ensuring that all relevant information to support the appeal is provided at the outset</w:t>
      </w:r>
      <w:r w:rsidR="00765FB5">
        <w:rPr>
          <w:rFonts w:ascii="Arial" w:hAnsi="Arial" w:cs="Arial"/>
          <w:lang w:val="en-GB"/>
        </w:rPr>
        <w:t xml:space="preserve"> </w:t>
      </w:r>
      <w:r w:rsidR="00765FB5">
        <w:rPr>
          <w:rFonts w:ascii="Arial" w:hAnsi="Arial" w:cs="Arial"/>
        </w:rPr>
        <w:t>and</w:t>
      </w:r>
      <w:r w:rsidRPr="00BF5FBC">
        <w:rPr>
          <w:rFonts w:ascii="Arial" w:hAnsi="Arial" w:cs="Arial"/>
        </w:rPr>
        <w:t xml:space="preserve"> set out the grounds on which the </w:t>
      </w:r>
      <w:r w:rsidR="00655030">
        <w:rPr>
          <w:rFonts w:ascii="Arial" w:hAnsi="Arial" w:cs="Arial"/>
        </w:rPr>
        <w:t xml:space="preserve">Central East </w:t>
      </w:r>
      <w:r w:rsidRPr="00BF5FBC">
        <w:rPr>
          <w:rFonts w:ascii="Arial" w:hAnsi="Arial" w:cs="Arial"/>
        </w:rPr>
        <w:t xml:space="preserve">IFR Panel decision is being challenged. A review can only </w:t>
      </w:r>
      <w:proofErr w:type="gramStart"/>
      <w:r w:rsidRPr="00BF5FBC">
        <w:rPr>
          <w:rFonts w:ascii="Arial" w:hAnsi="Arial" w:cs="Arial"/>
        </w:rPr>
        <w:t>be requested</w:t>
      </w:r>
      <w:proofErr w:type="gramEnd"/>
      <w:r w:rsidRPr="00BF5FBC">
        <w:rPr>
          <w:rFonts w:ascii="Arial" w:hAnsi="Arial" w:cs="Arial"/>
        </w:rPr>
        <w:t xml:space="preserve"> on the grounds set out </w:t>
      </w:r>
      <w:r w:rsidR="005C44E2">
        <w:rPr>
          <w:rFonts w:ascii="Arial" w:hAnsi="Arial" w:cs="Arial"/>
        </w:rPr>
        <w:t>below.</w:t>
      </w:r>
    </w:p>
    <w:p w:rsidRPr="00BF5FBC" w:rsidR="00BF5FBC" w:rsidP="00BF5FBC" w:rsidRDefault="00BF5FBC" w14:paraId="397BC5B9" w14:textId="4DDFD399">
      <w:pPr>
        <w:rPr>
          <w:rFonts w:ascii="Arial" w:hAnsi="Arial" w:cs="Arial"/>
        </w:rPr>
      </w:pPr>
      <w:r w:rsidRPr="00BF5FBC">
        <w:rPr>
          <w:rFonts w:ascii="Arial" w:hAnsi="Arial" w:cs="Arial"/>
        </w:rPr>
        <w:t xml:space="preserve">The process will </w:t>
      </w:r>
      <w:proofErr w:type="gramStart"/>
      <w:r w:rsidRPr="00BF5FBC">
        <w:rPr>
          <w:rFonts w:ascii="Arial" w:hAnsi="Arial" w:cs="Arial"/>
        </w:rPr>
        <w:t>be reviewed</w:t>
      </w:r>
      <w:proofErr w:type="gramEnd"/>
      <w:r w:rsidRPr="00BF5FBC">
        <w:rPr>
          <w:rFonts w:ascii="Arial" w:hAnsi="Arial" w:cs="Arial"/>
        </w:rPr>
        <w:t xml:space="preserve"> by another ICB’s IFR Panel outside of </w:t>
      </w:r>
      <w:r w:rsidR="00806079">
        <w:rPr>
          <w:rFonts w:ascii="Arial" w:hAnsi="Arial" w:cs="Arial"/>
        </w:rPr>
        <w:t>the Central East ICB area</w:t>
      </w:r>
      <w:r w:rsidRPr="00BF5FBC">
        <w:rPr>
          <w:rFonts w:ascii="Arial" w:hAnsi="Arial" w:cs="Arial"/>
        </w:rPr>
        <w:t xml:space="preserve">. All members of the </w:t>
      </w:r>
      <w:r w:rsidR="00655030">
        <w:rPr>
          <w:rFonts w:ascii="Arial" w:hAnsi="Arial" w:cs="Arial"/>
        </w:rPr>
        <w:t>E</w:t>
      </w:r>
      <w:r w:rsidRPr="00BF5FBC">
        <w:rPr>
          <w:rFonts w:ascii="Arial" w:hAnsi="Arial" w:cs="Arial"/>
        </w:rPr>
        <w:t xml:space="preserve">xternal IFR Process Review Panel should have had no prior involvement </w:t>
      </w:r>
      <w:r w:rsidRPr="00BF5FBC" w:rsidR="008076D6">
        <w:rPr>
          <w:rFonts w:ascii="Arial" w:hAnsi="Arial" w:cs="Arial"/>
        </w:rPr>
        <w:t>in</w:t>
      </w:r>
      <w:r w:rsidRPr="00BF5FBC">
        <w:rPr>
          <w:rFonts w:ascii="Arial" w:hAnsi="Arial" w:cs="Arial"/>
        </w:rPr>
        <w:t xml:space="preserve"> the case</w:t>
      </w:r>
      <w:r w:rsidR="00806079">
        <w:rPr>
          <w:rFonts w:ascii="Arial" w:hAnsi="Arial" w:cs="Arial"/>
        </w:rPr>
        <w:t xml:space="preserve">. </w:t>
      </w:r>
      <w:r w:rsidRPr="00BF5FBC">
        <w:rPr>
          <w:rFonts w:ascii="Arial" w:hAnsi="Arial" w:cs="Arial"/>
        </w:rPr>
        <w:t xml:space="preserve">The External IFR Process Review Panel shall consider all the papers which </w:t>
      </w:r>
      <w:proofErr w:type="gramStart"/>
      <w:r w:rsidRPr="00BF5FBC">
        <w:rPr>
          <w:rFonts w:ascii="Arial" w:hAnsi="Arial" w:cs="Arial"/>
        </w:rPr>
        <w:t xml:space="preserve">were </w:t>
      </w:r>
      <w:r w:rsidR="00CD4378">
        <w:rPr>
          <w:rFonts w:ascii="Arial" w:hAnsi="Arial" w:cs="Arial"/>
        </w:rPr>
        <w:t>put</w:t>
      </w:r>
      <w:proofErr w:type="gramEnd"/>
      <w:r w:rsidR="00CD4378">
        <w:rPr>
          <w:rFonts w:ascii="Arial" w:hAnsi="Arial" w:cs="Arial"/>
        </w:rPr>
        <w:t xml:space="preserve"> </w:t>
      </w:r>
      <w:r w:rsidRPr="00BF5FBC">
        <w:rPr>
          <w:rFonts w:ascii="Arial" w:hAnsi="Arial" w:cs="Arial"/>
        </w:rPr>
        <w:t xml:space="preserve">before the </w:t>
      </w:r>
      <w:r w:rsidR="00655030">
        <w:rPr>
          <w:rFonts w:ascii="Arial" w:hAnsi="Arial" w:cs="Arial"/>
        </w:rPr>
        <w:t>Central East</w:t>
      </w:r>
      <w:r w:rsidRPr="00BF5FBC">
        <w:rPr>
          <w:rFonts w:ascii="Arial" w:hAnsi="Arial" w:cs="Arial"/>
        </w:rPr>
        <w:t xml:space="preserve"> IFR Panel. There will be no representation at the </w:t>
      </w:r>
      <w:r w:rsidR="00655030">
        <w:rPr>
          <w:rFonts w:ascii="Arial" w:hAnsi="Arial" w:cs="Arial"/>
        </w:rPr>
        <w:t>E</w:t>
      </w:r>
      <w:r w:rsidRPr="00BF5FBC">
        <w:rPr>
          <w:rFonts w:ascii="Arial" w:hAnsi="Arial" w:cs="Arial"/>
        </w:rPr>
        <w:t xml:space="preserve">xternal IFR </w:t>
      </w:r>
      <w:r w:rsidR="00655030">
        <w:rPr>
          <w:rFonts w:ascii="Arial" w:hAnsi="Arial" w:cs="Arial"/>
        </w:rPr>
        <w:t>P</w:t>
      </w:r>
      <w:r w:rsidRPr="00BF5FBC">
        <w:rPr>
          <w:rFonts w:ascii="Arial" w:hAnsi="Arial" w:cs="Arial"/>
        </w:rPr>
        <w:t xml:space="preserve">rocess </w:t>
      </w:r>
      <w:r w:rsidR="00655030">
        <w:rPr>
          <w:rFonts w:ascii="Arial" w:hAnsi="Arial" w:cs="Arial"/>
        </w:rPr>
        <w:t>R</w:t>
      </w:r>
      <w:r w:rsidRPr="00BF5FBC">
        <w:rPr>
          <w:rFonts w:ascii="Arial" w:hAnsi="Arial" w:cs="Arial"/>
        </w:rPr>
        <w:t xml:space="preserve">eview meeting from the </w:t>
      </w:r>
      <w:r w:rsidR="00806079">
        <w:rPr>
          <w:rFonts w:ascii="Arial" w:hAnsi="Arial" w:cs="Arial"/>
        </w:rPr>
        <w:t>Central East</w:t>
      </w:r>
      <w:r w:rsidRPr="00BF5FBC">
        <w:rPr>
          <w:rFonts w:ascii="Arial" w:hAnsi="Arial" w:cs="Arial"/>
        </w:rPr>
        <w:t xml:space="preserve"> ICB IFR Panel or the requesting clinician and / or the patient / patient representative. The </w:t>
      </w:r>
      <w:r w:rsidR="00655030">
        <w:rPr>
          <w:rFonts w:ascii="Arial" w:hAnsi="Arial" w:cs="Arial"/>
        </w:rPr>
        <w:t>E</w:t>
      </w:r>
      <w:r w:rsidRPr="00BF5FBC">
        <w:rPr>
          <w:rFonts w:ascii="Arial" w:hAnsi="Arial" w:cs="Arial"/>
        </w:rPr>
        <w:t xml:space="preserve">xternal IFR </w:t>
      </w:r>
      <w:r w:rsidR="00655030">
        <w:rPr>
          <w:rFonts w:ascii="Arial" w:hAnsi="Arial" w:cs="Arial"/>
        </w:rPr>
        <w:t>P</w:t>
      </w:r>
      <w:r w:rsidRPr="00BF5FBC">
        <w:rPr>
          <w:rFonts w:ascii="Arial" w:hAnsi="Arial" w:cs="Arial"/>
        </w:rPr>
        <w:t xml:space="preserve">rocess </w:t>
      </w:r>
      <w:r w:rsidR="00655030">
        <w:rPr>
          <w:rFonts w:ascii="Arial" w:hAnsi="Arial" w:cs="Arial"/>
        </w:rPr>
        <w:t>R</w:t>
      </w:r>
      <w:r w:rsidRPr="00BF5FBC">
        <w:rPr>
          <w:rFonts w:ascii="Arial" w:hAnsi="Arial" w:cs="Arial"/>
        </w:rPr>
        <w:t xml:space="preserve">eview </w:t>
      </w:r>
      <w:r w:rsidR="00655030">
        <w:rPr>
          <w:rFonts w:ascii="Arial" w:hAnsi="Arial" w:cs="Arial"/>
        </w:rPr>
        <w:t>P</w:t>
      </w:r>
      <w:r w:rsidRPr="00BF5FBC">
        <w:rPr>
          <w:rFonts w:ascii="Arial" w:hAnsi="Arial" w:cs="Arial"/>
        </w:rPr>
        <w:t xml:space="preserve">anel will not consider </w:t>
      </w:r>
      <w:proofErr w:type="gramStart"/>
      <w:r w:rsidRPr="00BF5FBC">
        <w:rPr>
          <w:rFonts w:ascii="Arial" w:hAnsi="Arial" w:cs="Arial"/>
        </w:rPr>
        <w:t>new information</w:t>
      </w:r>
      <w:proofErr w:type="gramEnd"/>
      <w:r w:rsidRPr="00BF5FBC">
        <w:rPr>
          <w:rFonts w:ascii="Arial" w:hAnsi="Arial" w:cs="Arial"/>
        </w:rPr>
        <w:t xml:space="preserve"> (i.e., that was not </w:t>
      </w:r>
      <w:r w:rsidR="00CD4378">
        <w:rPr>
          <w:rFonts w:ascii="Arial" w:hAnsi="Arial" w:cs="Arial"/>
        </w:rPr>
        <w:t xml:space="preserve">put </w:t>
      </w:r>
      <w:r w:rsidRPr="00BF5FBC">
        <w:rPr>
          <w:rFonts w:ascii="Arial" w:hAnsi="Arial" w:cs="Arial"/>
        </w:rPr>
        <w:t>before the</w:t>
      </w:r>
      <w:r w:rsidR="00655030">
        <w:rPr>
          <w:rFonts w:ascii="Arial" w:hAnsi="Arial" w:cs="Arial"/>
        </w:rPr>
        <w:t xml:space="preserve"> </w:t>
      </w:r>
      <w:r w:rsidR="00655030">
        <w:rPr>
          <w:rFonts w:ascii="Arial" w:hAnsi="Arial" w:cs="Arial"/>
        </w:rPr>
        <w:t>Central East</w:t>
      </w:r>
      <w:r w:rsidRPr="00BF5FBC">
        <w:rPr>
          <w:rFonts w:ascii="Arial" w:hAnsi="Arial" w:cs="Arial"/>
        </w:rPr>
        <w:t xml:space="preserve"> IFR Panel, including on any reconsideration). If there is significant </w:t>
      </w:r>
      <w:proofErr w:type="gramStart"/>
      <w:r w:rsidRPr="00BF5FBC">
        <w:rPr>
          <w:rFonts w:ascii="Arial" w:hAnsi="Arial" w:cs="Arial"/>
        </w:rPr>
        <w:t>new information</w:t>
      </w:r>
      <w:proofErr w:type="gramEnd"/>
      <w:r w:rsidRPr="00BF5FBC">
        <w:rPr>
          <w:rFonts w:ascii="Arial" w:hAnsi="Arial" w:cs="Arial"/>
        </w:rPr>
        <w:t xml:space="preserve">, not previously considered by the </w:t>
      </w:r>
      <w:r w:rsidR="00655030">
        <w:rPr>
          <w:rFonts w:ascii="Arial" w:hAnsi="Arial" w:cs="Arial"/>
        </w:rPr>
        <w:t xml:space="preserve">Central East ICB </w:t>
      </w:r>
      <w:r w:rsidRPr="00BF5FBC">
        <w:rPr>
          <w:rFonts w:ascii="Arial" w:hAnsi="Arial" w:cs="Arial"/>
        </w:rPr>
        <w:t xml:space="preserve">IFR Panel, it can only be referred and considered as set out in the ‘Reconsideration Requests’ in </w:t>
      </w:r>
      <w:r w:rsidRPr="005C44E2">
        <w:rPr>
          <w:rFonts w:ascii="Arial" w:hAnsi="Arial" w:cs="Arial"/>
        </w:rPr>
        <w:t xml:space="preserve">section </w:t>
      </w:r>
      <w:r w:rsidRPr="005C44E2" w:rsidR="00B42F39">
        <w:rPr>
          <w:rFonts w:ascii="Arial" w:hAnsi="Arial" w:cs="Arial"/>
        </w:rPr>
        <w:t>7.1</w:t>
      </w:r>
      <w:r w:rsidRPr="005C44E2">
        <w:rPr>
          <w:rFonts w:ascii="Arial" w:hAnsi="Arial" w:cs="Arial"/>
        </w:rPr>
        <w:t>.</w:t>
      </w:r>
      <w:r w:rsidR="00806079">
        <w:rPr>
          <w:rFonts w:ascii="Arial" w:hAnsi="Arial" w:cs="Arial"/>
        </w:rPr>
        <w:t xml:space="preserve"> </w:t>
      </w:r>
      <w:r w:rsidRPr="00BF5FBC">
        <w:rPr>
          <w:rFonts w:ascii="Arial" w:hAnsi="Arial" w:cs="Arial"/>
        </w:rPr>
        <w:t xml:space="preserve">In reaching its decision the External IFR Process Review Panel should apply the same approach and tests as set out in the </w:t>
      </w:r>
      <w:r w:rsidR="00806079">
        <w:rPr>
          <w:rFonts w:ascii="Arial" w:hAnsi="Arial" w:cs="Arial"/>
        </w:rPr>
        <w:t xml:space="preserve">Central East </w:t>
      </w:r>
      <w:r w:rsidRPr="00BF5FBC">
        <w:rPr>
          <w:rFonts w:ascii="Arial" w:hAnsi="Arial" w:cs="Arial"/>
        </w:rPr>
        <w:t>ICB IFR policy.</w:t>
      </w:r>
    </w:p>
    <w:p w:rsidRPr="00CC423D" w:rsidR="00BF5FBC" w:rsidP="00CC423D" w:rsidRDefault="00BF5FBC" w14:paraId="5C5D1462" w14:textId="1AD6259B">
      <w:pPr>
        <w:rPr>
          <w:rFonts w:ascii="Arial" w:hAnsi="Arial" w:cs="Arial"/>
        </w:rPr>
      </w:pPr>
      <w:r w:rsidRPr="00CC423D">
        <w:rPr>
          <w:rFonts w:ascii="Arial" w:hAnsi="Arial" w:cs="Arial"/>
        </w:rPr>
        <w:t xml:space="preserve">The review will consider </w:t>
      </w:r>
      <w:r w:rsidRPr="00CC423D" w:rsidR="008076D6">
        <w:rPr>
          <w:rFonts w:ascii="Arial" w:hAnsi="Arial" w:cs="Arial"/>
        </w:rPr>
        <w:t>whether</w:t>
      </w:r>
      <w:r w:rsidRPr="00CC423D">
        <w:rPr>
          <w:rFonts w:ascii="Arial" w:hAnsi="Arial" w:cs="Arial"/>
        </w:rPr>
        <w:t xml:space="preserve"> the decision reached by the IFR Panel:</w:t>
      </w:r>
    </w:p>
    <w:p w:rsidRPr="00F45424" w:rsidR="00EC0C7F" w:rsidP="00D87A65" w:rsidRDefault="005F6E21" w14:paraId="60007C6B" w14:textId="54642725">
      <w:pPr>
        <w:pStyle w:val="ListParagraph"/>
        <w:numPr>
          <w:ilvl w:val="0"/>
          <w:numId w:val="22"/>
        </w:numPr>
        <w:spacing w:after="0"/>
        <w:rPr>
          <w:rFonts w:ascii="Arial" w:hAnsi="Arial" w:cs="Arial"/>
          <w:lang w:val="en-GB"/>
        </w:rPr>
      </w:pPr>
      <w:r w:rsidRPr="00F45424">
        <w:rPr>
          <w:rFonts w:ascii="Arial" w:hAnsi="Arial" w:cs="Arial"/>
        </w:rPr>
        <w:t xml:space="preserve">Was consistent with </w:t>
      </w:r>
      <w:r w:rsidRPr="00F45424" w:rsidR="00655513">
        <w:rPr>
          <w:rFonts w:ascii="Arial" w:hAnsi="Arial" w:cs="Arial"/>
        </w:rPr>
        <w:t>any local</w:t>
      </w:r>
      <w:r w:rsidRPr="00F45424">
        <w:rPr>
          <w:rFonts w:ascii="Arial" w:hAnsi="Arial" w:cs="Arial"/>
        </w:rPr>
        <w:t xml:space="preserve"> </w:t>
      </w:r>
      <w:r w:rsidRPr="00F45424">
        <w:rPr>
          <w:rFonts w:ascii="Arial" w:hAnsi="Arial" w:cs="Arial"/>
          <w:lang w:val="en-GB"/>
        </w:rPr>
        <w:t xml:space="preserve">Ethical and Commissioning </w:t>
      </w:r>
      <w:r w:rsidRPr="00F45424" w:rsidR="00655513">
        <w:rPr>
          <w:rFonts w:ascii="Arial" w:hAnsi="Arial" w:cs="Arial"/>
          <w:lang w:val="en-GB"/>
        </w:rPr>
        <w:t>p</w:t>
      </w:r>
      <w:r w:rsidRPr="00F45424">
        <w:rPr>
          <w:rFonts w:ascii="Arial" w:hAnsi="Arial" w:cs="Arial"/>
          <w:lang w:val="en-GB"/>
        </w:rPr>
        <w:t>rinciples</w:t>
      </w:r>
      <w:r w:rsidR="00CD4378">
        <w:rPr>
          <w:rFonts w:ascii="Arial" w:hAnsi="Arial" w:cs="Arial"/>
          <w:lang w:val="en-GB"/>
        </w:rPr>
        <w:t>.</w:t>
      </w:r>
      <w:r w:rsidRPr="00F45424">
        <w:rPr>
          <w:rFonts w:ascii="Arial" w:hAnsi="Arial" w:cs="Arial"/>
          <w:lang w:val="en-GB"/>
        </w:rPr>
        <w:t xml:space="preserve"> </w:t>
      </w:r>
    </w:p>
    <w:p w:rsidRPr="005F6E21" w:rsidR="00BF5FBC" w:rsidP="00D87A65" w:rsidRDefault="00BF5FBC" w14:paraId="79E3ED0F" w14:textId="76BD8767">
      <w:pPr>
        <w:pStyle w:val="ListParagraph"/>
        <w:numPr>
          <w:ilvl w:val="0"/>
          <w:numId w:val="22"/>
        </w:numPr>
        <w:spacing w:after="0"/>
        <w:rPr>
          <w:rFonts w:ascii="Arial" w:hAnsi="Arial" w:cs="Arial"/>
          <w:lang w:val="en-GB"/>
        </w:rPr>
      </w:pPr>
      <w:r w:rsidRPr="005F6E21">
        <w:rPr>
          <w:rFonts w:ascii="Arial" w:hAnsi="Arial" w:cs="Arial"/>
        </w:rPr>
        <w:t xml:space="preserve">Was taken following a process inconsistent with </w:t>
      </w:r>
      <w:r w:rsidRPr="005F6E21" w:rsidR="00655030">
        <w:rPr>
          <w:rFonts w:ascii="Arial" w:hAnsi="Arial" w:cs="Arial"/>
        </w:rPr>
        <w:t>Central</w:t>
      </w:r>
      <w:r w:rsidRPr="005F6E21">
        <w:rPr>
          <w:rFonts w:ascii="Arial" w:hAnsi="Arial" w:cs="Arial"/>
        </w:rPr>
        <w:t xml:space="preserve"> ICB IFR policy</w:t>
      </w:r>
      <w:r w:rsidRPr="005F6E21" w:rsidR="00655030">
        <w:rPr>
          <w:rFonts w:ascii="Arial" w:hAnsi="Arial" w:cs="Arial"/>
        </w:rPr>
        <w:t xml:space="preserve">, </w:t>
      </w:r>
      <w:proofErr w:type="gramStart"/>
      <w:r w:rsidRPr="005F6E21" w:rsidR="00655030">
        <w:rPr>
          <w:rFonts w:ascii="Arial" w:hAnsi="Arial" w:cs="Arial"/>
        </w:rPr>
        <w:t>process</w:t>
      </w:r>
      <w:proofErr w:type="gramEnd"/>
      <w:r w:rsidRPr="005F6E21" w:rsidR="00655030">
        <w:rPr>
          <w:rFonts w:ascii="Arial" w:hAnsi="Arial" w:cs="Arial"/>
        </w:rPr>
        <w:t xml:space="preserve"> and </w:t>
      </w:r>
      <w:r w:rsidRPr="005F6E21">
        <w:rPr>
          <w:rFonts w:ascii="Arial" w:hAnsi="Arial" w:cs="Arial"/>
        </w:rPr>
        <w:t>TOR.</w:t>
      </w:r>
    </w:p>
    <w:p w:rsidRPr="005F6E21" w:rsidR="00BF5FBC" w:rsidP="00D87A65" w:rsidRDefault="00BF5FBC" w14:paraId="380A4326" w14:textId="1819F551">
      <w:pPr>
        <w:pStyle w:val="ListParagraph"/>
        <w:numPr>
          <w:ilvl w:val="0"/>
          <w:numId w:val="22"/>
        </w:numPr>
        <w:spacing w:after="0"/>
        <w:rPr>
          <w:rFonts w:ascii="Arial" w:hAnsi="Arial" w:cs="Arial"/>
        </w:rPr>
      </w:pPr>
      <w:r w:rsidRPr="005F6E21">
        <w:rPr>
          <w:rFonts w:ascii="Arial" w:hAnsi="Arial" w:cs="Arial"/>
        </w:rPr>
        <w:t>Failed in a material way properly to consider the evidence presented to it.</w:t>
      </w:r>
    </w:p>
    <w:p w:rsidRPr="005F6E21" w:rsidR="00BF5FBC" w:rsidP="00D87A65" w:rsidRDefault="00BF5FBC" w14:paraId="7CBED574" w14:textId="0CB70889">
      <w:pPr>
        <w:pStyle w:val="ListParagraph"/>
        <w:numPr>
          <w:ilvl w:val="0"/>
          <w:numId w:val="22"/>
        </w:numPr>
        <w:spacing w:after="0"/>
        <w:rPr>
          <w:rFonts w:ascii="Arial" w:hAnsi="Arial" w:cs="Arial"/>
        </w:rPr>
      </w:pPr>
      <w:r w:rsidRPr="005F6E21">
        <w:rPr>
          <w:rFonts w:ascii="Arial" w:hAnsi="Arial" w:cs="Arial"/>
        </w:rPr>
        <w:t xml:space="preserve">Had </w:t>
      </w:r>
      <w:proofErr w:type="gramStart"/>
      <w:r w:rsidRPr="005F6E21">
        <w:rPr>
          <w:rFonts w:ascii="Arial" w:hAnsi="Arial" w:cs="Arial"/>
        </w:rPr>
        <w:t>taken into account</w:t>
      </w:r>
      <w:proofErr w:type="gramEnd"/>
      <w:r w:rsidRPr="005F6E21">
        <w:rPr>
          <w:rFonts w:ascii="Arial" w:hAnsi="Arial" w:cs="Arial"/>
        </w:rPr>
        <w:t xml:space="preserve"> irrelevant factors.</w:t>
      </w:r>
    </w:p>
    <w:p w:rsidRPr="005F6E21" w:rsidR="00BF5FBC" w:rsidP="00D87A65" w:rsidRDefault="00BF5FBC" w14:paraId="400FBC60" w14:textId="4F825722">
      <w:pPr>
        <w:pStyle w:val="ListParagraph"/>
        <w:numPr>
          <w:ilvl w:val="0"/>
          <w:numId w:val="22"/>
        </w:numPr>
        <w:spacing w:after="0"/>
        <w:rPr>
          <w:rFonts w:ascii="Arial" w:hAnsi="Arial" w:cs="Arial"/>
        </w:rPr>
      </w:pPr>
      <w:r w:rsidRPr="005F6E21">
        <w:rPr>
          <w:rFonts w:ascii="Arial" w:hAnsi="Arial" w:cs="Arial"/>
        </w:rPr>
        <w:t>Failed to take account of a material fact.</w:t>
      </w:r>
    </w:p>
    <w:p w:rsidRPr="005F6E21" w:rsidR="00BF5FBC" w:rsidP="00D87A65" w:rsidRDefault="00BF5FBC" w14:paraId="2C862CE1" w14:textId="0B4C7376">
      <w:pPr>
        <w:pStyle w:val="ListParagraph"/>
        <w:numPr>
          <w:ilvl w:val="0"/>
          <w:numId w:val="22"/>
        </w:numPr>
        <w:spacing w:after="0"/>
        <w:rPr>
          <w:rFonts w:ascii="Arial" w:hAnsi="Arial" w:cs="Arial"/>
        </w:rPr>
      </w:pPr>
      <w:r w:rsidRPr="005F6E21">
        <w:rPr>
          <w:rFonts w:ascii="Arial" w:hAnsi="Arial" w:cs="Arial"/>
        </w:rPr>
        <w:t xml:space="preserve">Was a decision that no reasonable IFR Panel could have reached on the evidence before </w:t>
      </w:r>
      <w:r w:rsidRPr="005F6E21" w:rsidR="00655030">
        <w:rPr>
          <w:rFonts w:ascii="Arial" w:hAnsi="Arial" w:cs="Arial"/>
        </w:rPr>
        <w:t>it</w:t>
      </w:r>
      <w:r w:rsidRPr="005F6E21">
        <w:rPr>
          <w:rFonts w:ascii="Arial" w:hAnsi="Arial" w:cs="Arial"/>
        </w:rPr>
        <w:t>.</w:t>
      </w:r>
    </w:p>
    <w:p w:rsidRPr="00BF5FBC" w:rsidR="00806079" w:rsidP="005F6E21" w:rsidRDefault="00806079" w14:paraId="07BCCFF0" w14:textId="77777777">
      <w:pPr>
        <w:spacing w:after="0"/>
        <w:rPr>
          <w:rFonts w:ascii="Arial" w:hAnsi="Arial" w:cs="Arial"/>
        </w:rPr>
      </w:pPr>
    </w:p>
    <w:p w:rsidRPr="00BF5FBC" w:rsidR="00BF5FBC" w:rsidP="00BF5FBC" w:rsidRDefault="00BF5FBC" w14:paraId="39F594A2" w14:textId="4AE842E5">
      <w:pPr>
        <w:rPr>
          <w:rFonts w:ascii="Arial" w:hAnsi="Arial" w:cs="Arial"/>
        </w:rPr>
      </w:pPr>
      <w:r w:rsidRPr="6F87A5EE">
        <w:rPr>
          <w:rFonts w:ascii="Arial" w:hAnsi="Arial" w:cs="Arial"/>
        </w:rPr>
        <w:t xml:space="preserve">The </w:t>
      </w:r>
      <w:r w:rsidRPr="6F87A5EE" w:rsidR="00655030">
        <w:rPr>
          <w:rFonts w:ascii="Arial" w:hAnsi="Arial" w:cs="Arial"/>
        </w:rPr>
        <w:t>E</w:t>
      </w:r>
      <w:r w:rsidRPr="6F87A5EE">
        <w:rPr>
          <w:rFonts w:ascii="Arial" w:hAnsi="Arial" w:cs="Arial"/>
        </w:rPr>
        <w:t xml:space="preserve">xternal IFR </w:t>
      </w:r>
      <w:r w:rsidRPr="6F87A5EE" w:rsidR="00655030">
        <w:rPr>
          <w:rFonts w:ascii="Arial" w:hAnsi="Arial" w:cs="Arial"/>
        </w:rPr>
        <w:t>P</w:t>
      </w:r>
      <w:r w:rsidRPr="6F87A5EE">
        <w:rPr>
          <w:rFonts w:ascii="Arial" w:hAnsi="Arial" w:cs="Arial"/>
        </w:rPr>
        <w:t xml:space="preserve">rocess </w:t>
      </w:r>
      <w:r w:rsidRPr="6F87A5EE" w:rsidR="00655030">
        <w:rPr>
          <w:rFonts w:ascii="Arial" w:hAnsi="Arial" w:cs="Arial"/>
        </w:rPr>
        <w:t>R</w:t>
      </w:r>
      <w:r w:rsidRPr="6F87A5EE">
        <w:rPr>
          <w:rFonts w:ascii="Arial" w:hAnsi="Arial" w:cs="Arial"/>
        </w:rPr>
        <w:t xml:space="preserve">eview Panel will refer the case back to the IFR Panel with </w:t>
      </w:r>
      <w:r w:rsidR="00852258">
        <w:rPr>
          <w:rFonts w:ascii="Arial" w:hAnsi="Arial" w:cs="Arial"/>
        </w:rPr>
        <w:t>any</w:t>
      </w:r>
      <w:r w:rsidRPr="6F87A5EE">
        <w:rPr>
          <w:rFonts w:ascii="Arial" w:hAnsi="Arial" w:cs="Arial"/>
        </w:rPr>
        <w:t xml:space="preserve"> points for reconsideration</w:t>
      </w:r>
      <w:r w:rsidR="00852258">
        <w:rPr>
          <w:rFonts w:ascii="Arial" w:hAnsi="Arial" w:cs="Arial"/>
        </w:rPr>
        <w:t xml:space="preserve"> clearly detailed</w:t>
      </w:r>
      <w:r w:rsidRPr="6F87A5EE">
        <w:rPr>
          <w:rFonts w:ascii="Arial" w:hAnsi="Arial" w:cs="Arial"/>
        </w:rPr>
        <w:t>.</w:t>
      </w:r>
    </w:p>
    <w:p w:rsidRPr="005F6E21" w:rsidR="005F6E21" w:rsidP="005F6E21" w:rsidRDefault="00BF5FBC" w14:paraId="3669237E" w14:textId="5157E817">
      <w:pPr>
        <w:rPr>
          <w:rFonts w:ascii="Arial" w:hAnsi="Arial" w:cs="Arial"/>
          <w:lang w:val="en-GB"/>
        </w:rPr>
      </w:pPr>
      <w:r w:rsidRPr="00BF5FBC">
        <w:rPr>
          <w:rFonts w:ascii="Arial" w:hAnsi="Arial" w:cs="Arial"/>
        </w:rPr>
        <w:t xml:space="preserve">The </w:t>
      </w:r>
      <w:r w:rsidR="00806079">
        <w:rPr>
          <w:rFonts w:ascii="Arial" w:hAnsi="Arial" w:cs="Arial"/>
        </w:rPr>
        <w:t>Central East</w:t>
      </w:r>
      <w:r w:rsidRPr="00BF5FBC">
        <w:rPr>
          <w:rFonts w:ascii="Arial" w:hAnsi="Arial" w:cs="Arial"/>
        </w:rPr>
        <w:t xml:space="preserve"> IFR team will write </w:t>
      </w:r>
      <w:r w:rsidR="00806079">
        <w:rPr>
          <w:rFonts w:ascii="Arial" w:hAnsi="Arial" w:cs="Arial"/>
        </w:rPr>
        <w:t xml:space="preserve">to the </w:t>
      </w:r>
      <w:r w:rsidR="005F6E21">
        <w:rPr>
          <w:rFonts w:ascii="Arial" w:hAnsi="Arial" w:cs="Arial"/>
        </w:rPr>
        <w:t>requesting clinician</w:t>
      </w:r>
      <w:r w:rsidRPr="00BF5FBC">
        <w:rPr>
          <w:rFonts w:ascii="Arial" w:hAnsi="Arial" w:cs="Arial"/>
        </w:rPr>
        <w:t xml:space="preserve"> and the</w:t>
      </w:r>
      <w:r w:rsidR="00806079">
        <w:rPr>
          <w:rFonts w:ascii="Arial" w:hAnsi="Arial" w:cs="Arial"/>
        </w:rPr>
        <w:t xml:space="preserve"> Central East</w:t>
      </w:r>
      <w:r w:rsidRPr="00BF5FBC">
        <w:rPr>
          <w:rFonts w:ascii="Arial" w:hAnsi="Arial" w:cs="Arial"/>
        </w:rPr>
        <w:t xml:space="preserve"> IFR Panel Chair within </w:t>
      </w:r>
      <w:proofErr w:type="gramStart"/>
      <w:r w:rsidRPr="00BF5FBC">
        <w:rPr>
          <w:rFonts w:ascii="Arial" w:hAnsi="Arial" w:cs="Arial"/>
        </w:rPr>
        <w:t>5</w:t>
      </w:r>
      <w:proofErr w:type="gramEnd"/>
      <w:r w:rsidRPr="00BF5FBC">
        <w:rPr>
          <w:rFonts w:ascii="Arial" w:hAnsi="Arial" w:cs="Arial"/>
        </w:rPr>
        <w:t xml:space="preserve"> working days of receipt of the outcome of the review meeting. This is to inform them of the outcome with the reasons for the </w:t>
      </w:r>
      <w:r w:rsidR="00655030">
        <w:rPr>
          <w:rFonts w:ascii="Arial" w:hAnsi="Arial" w:cs="Arial"/>
        </w:rPr>
        <w:t>E</w:t>
      </w:r>
      <w:r w:rsidR="00806079">
        <w:rPr>
          <w:rFonts w:ascii="Arial" w:hAnsi="Arial" w:cs="Arial"/>
        </w:rPr>
        <w:t xml:space="preserve">xternal </w:t>
      </w:r>
      <w:r w:rsidRPr="00BF5FBC">
        <w:rPr>
          <w:rFonts w:ascii="Arial" w:hAnsi="Arial" w:cs="Arial"/>
        </w:rPr>
        <w:t xml:space="preserve">IFR </w:t>
      </w:r>
      <w:r w:rsidR="00655030">
        <w:rPr>
          <w:rFonts w:ascii="Arial" w:hAnsi="Arial" w:cs="Arial"/>
        </w:rPr>
        <w:t>R</w:t>
      </w:r>
      <w:r w:rsidRPr="00BF5FBC">
        <w:rPr>
          <w:rFonts w:ascii="Arial" w:hAnsi="Arial" w:cs="Arial"/>
        </w:rPr>
        <w:t xml:space="preserve">eview </w:t>
      </w:r>
      <w:r w:rsidR="00655030">
        <w:rPr>
          <w:rFonts w:ascii="Arial" w:hAnsi="Arial" w:cs="Arial"/>
        </w:rPr>
        <w:t>P</w:t>
      </w:r>
      <w:r w:rsidRPr="00BF5FBC">
        <w:rPr>
          <w:rFonts w:ascii="Arial" w:hAnsi="Arial" w:cs="Arial"/>
        </w:rPr>
        <w:t>anel decision.</w:t>
      </w:r>
      <w:r w:rsidRPr="005F6E21" w:rsidR="005F6E21">
        <w:rPr>
          <w:rFonts w:ascii="Arial" w:hAnsi="Arial" w:eastAsia="Times New Roman" w:cs="Arial"/>
          <w:color w:val="000000"/>
          <w:lang w:val="en-GB" w:eastAsia="en-GB"/>
        </w:rPr>
        <w:t xml:space="preserve"> </w:t>
      </w:r>
      <w:r w:rsidRPr="005F6E21" w:rsidR="005F6E21">
        <w:rPr>
          <w:rFonts w:ascii="Arial" w:hAnsi="Arial" w:cs="Arial"/>
          <w:lang w:val="en-GB"/>
        </w:rPr>
        <w:t>It is the responsibility of the requesting clinician to provide the outcome to their patient at this stage</w:t>
      </w:r>
      <w:r w:rsidR="005F6E21">
        <w:rPr>
          <w:rFonts w:ascii="Arial" w:hAnsi="Arial" w:cs="Arial"/>
          <w:lang w:val="en-GB"/>
        </w:rPr>
        <w:t>.</w:t>
      </w:r>
    </w:p>
    <w:p w:rsidRPr="005F6E21" w:rsidR="005F6E21" w:rsidP="005F6E21" w:rsidRDefault="00BF5FBC" w14:paraId="71443130" w14:textId="27AAE955">
      <w:pPr>
        <w:shd w:val="clear" w:color="auto" w:fill="FFFFFF"/>
        <w:tabs>
          <w:tab w:val="left" w:pos="709"/>
        </w:tabs>
        <w:spacing w:after="0"/>
        <w:ind w:right="42"/>
        <w:contextualSpacing/>
        <w:rPr>
          <w:rFonts w:ascii="Arial" w:hAnsi="Arial" w:eastAsia="Times New Roman" w:cs="Arial"/>
          <w:color w:val="000000"/>
          <w:lang w:val="en-GB" w:eastAsia="en-GB"/>
        </w:rPr>
      </w:pPr>
      <w:r w:rsidRPr="00BF5FBC">
        <w:rPr>
          <w:rFonts w:ascii="Arial" w:hAnsi="Arial" w:cs="Arial"/>
        </w:rPr>
        <w:t>If the</w:t>
      </w:r>
      <w:r w:rsidR="00655030">
        <w:rPr>
          <w:rFonts w:ascii="Arial" w:hAnsi="Arial" w:cs="Arial"/>
        </w:rPr>
        <w:t xml:space="preserve"> External</w:t>
      </w:r>
      <w:r w:rsidRPr="00BF5FBC">
        <w:rPr>
          <w:rFonts w:ascii="Arial" w:hAnsi="Arial" w:cs="Arial"/>
        </w:rPr>
        <w:t xml:space="preserve"> IFR </w:t>
      </w:r>
      <w:r w:rsidR="00655030">
        <w:rPr>
          <w:rFonts w:ascii="Arial" w:hAnsi="Arial" w:cs="Arial"/>
        </w:rPr>
        <w:t>R</w:t>
      </w:r>
      <w:r w:rsidRPr="00BF5FBC">
        <w:rPr>
          <w:rFonts w:ascii="Arial" w:hAnsi="Arial" w:cs="Arial"/>
        </w:rPr>
        <w:t xml:space="preserve">eview </w:t>
      </w:r>
      <w:r w:rsidR="00655030">
        <w:rPr>
          <w:rFonts w:ascii="Arial" w:hAnsi="Arial" w:cs="Arial"/>
        </w:rPr>
        <w:t>P</w:t>
      </w:r>
      <w:r w:rsidRPr="00BF5FBC">
        <w:rPr>
          <w:rFonts w:ascii="Arial" w:hAnsi="Arial" w:cs="Arial"/>
        </w:rPr>
        <w:t>anel determines that the</w:t>
      </w:r>
      <w:r w:rsidR="00655030">
        <w:rPr>
          <w:rFonts w:ascii="Arial" w:hAnsi="Arial" w:cs="Arial"/>
        </w:rPr>
        <w:t xml:space="preserve"> Central East</w:t>
      </w:r>
      <w:r w:rsidRPr="00BF5FBC">
        <w:rPr>
          <w:rFonts w:ascii="Arial" w:hAnsi="Arial" w:cs="Arial"/>
        </w:rPr>
        <w:t xml:space="preserve"> IFR Panel needs to reconsider the case, the </w:t>
      </w:r>
      <w:r w:rsidR="00655030">
        <w:rPr>
          <w:rFonts w:ascii="Arial" w:hAnsi="Arial" w:cs="Arial"/>
        </w:rPr>
        <w:t xml:space="preserve">Central East </w:t>
      </w:r>
      <w:r w:rsidRPr="00BF5FBC">
        <w:rPr>
          <w:rFonts w:ascii="Arial" w:hAnsi="Arial" w:cs="Arial"/>
        </w:rPr>
        <w:t xml:space="preserve">IFR Panel should reconvene within </w:t>
      </w:r>
      <w:proofErr w:type="gramStart"/>
      <w:r w:rsidRPr="00BF5FBC">
        <w:rPr>
          <w:rFonts w:ascii="Arial" w:hAnsi="Arial" w:cs="Arial"/>
        </w:rPr>
        <w:t>10</w:t>
      </w:r>
      <w:proofErr w:type="gramEnd"/>
      <w:r w:rsidRPr="00BF5FBC">
        <w:rPr>
          <w:rFonts w:ascii="Arial" w:hAnsi="Arial" w:cs="Arial"/>
        </w:rPr>
        <w:t xml:space="preserve"> working days of the date of decision letter from the Chair of the </w:t>
      </w:r>
      <w:r w:rsidR="00655030">
        <w:rPr>
          <w:rFonts w:ascii="Arial" w:hAnsi="Arial" w:cs="Arial"/>
        </w:rPr>
        <w:t>E</w:t>
      </w:r>
      <w:r w:rsidRPr="00BF5FBC">
        <w:rPr>
          <w:rFonts w:ascii="Arial" w:hAnsi="Arial" w:cs="Arial"/>
        </w:rPr>
        <w:t xml:space="preserve">xternal IFR </w:t>
      </w:r>
      <w:r w:rsidR="00655030">
        <w:rPr>
          <w:rFonts w:ascii="Arial" w:hAnsi="Arial" w:cs="Arial"/>
        </w:rPr>
        <w:t>P</w:t>
      </w:r>
      <w:r w:rsidRPr="00BF5FBC">
        <w:rPr>
          <w:rFonts w:ascii="Arial" w:hAnsi="Arial" w:cs="Arial"/>
        </w:rPr>
        <w:t xml:space="preserve">rocess </w:t>
      </w:r>
      <w:r w:rsidR="00655030">
        <w:rPr>
          <w:rFonts w:ascii="Arial" w:hAnsi="Arial" w:cs="Arial"/>
        </w:rPr>
        <w:t>R</w:t>
      </w:r>
      <w:r w:rsidRPr="00BF5FBC">
        <w:rPr>
          <w:rFonts w:ascii="Arial" w:hAnsi="Arial" w:cs="Arial"/>
        </w:rPr>
        <w:t xml:space="preserve">eview </w:t>
      </w:r>
      <w:r w:rsidR="00655030">
        <w:rPr>
          <w:rFonts w:ascii="Arial" w:hAnsi="Arial" w:cs="Arial"/>
        </w:rPr>
        <w:t>P</w:t>
      </w:r>
      <w:r w:rsidRPr="00BF5FBC">
        <w:rPr>
          <w:rFonts w:ascii="Arial" w:hAnsi="Arial" w:cs="Arial"/>
        </w:rPr>
        <w:t xml:space="preserve">anel. The </w:t>
      </w:r>
      <w:r w:rsidR="00655030">
        <w:rPr>
          <w:rFonts w:ascii="Arial" w:hAnsi="Arial" w:cs="Arial"/>
        </w:rPr>
        <w:t>Central East</w:t>
      </w:r>
      <w:r w:rsidRPr="00BF5FBC">
        <w:rPr>
          <w:rFonts w:ascii="Arial" w:hAnsi="Arial" w:cs="Arial"/>
        </w:rPr>
        <w:t xml:space="preserve"> ICB IFR Panel will reconsider </w:t>
      </w:r>
      <w:r w:rsidRPr="00BF5FBC" w:rsidR="00CD4378">
        <w:rPr>
          <w:rFonts w:ascii="Arial" w:hAnsi="Arial" w:cs="Arial"/>
        </w:rPr>
        <w:t>it</w:t>
      </w:r>
      <w:r w:rsidR="00CD4378">
        <w:rPr>
          <w:rFonts w:ascii="Arial" w:hAnsi="Arial" w:cs="Arial"/>
        </w:rPr>
        <w:t>s</w:t>
      </w:r>
      <w:r w:rsidRPr="00BF5FBC">
        <w:rPr>
          <w:rFonts w:ascii="Arial" w:hAnsi="Arial" w:cs="Arial"/>
        </w:rPr>
        <w:t xml:space="preserve"> decision and in doing so will formally address the points raised by the </w:t>
      </w:r>
      <w:r w:rsidR="00655030">
        <w:rPr>
          <w:rFonts w:ascii="Arial" w:hAnsi="Arial" w:cs="Arial"/>
        </w:rPr>
        <w:t>E</w:t>
      </w:r>
      <w:r w:rsidRPr="00BF5FBC">
        <w:rPr>
          <w:rFonts w:ascii="Arial" w:hAnsi="Arial" w:cs="Arial"/>
        </w:rPr>
        <w:t xml:space="preserve">xternal IFR </w:t>
      </w:r>
      <w:r w:rsidR="00655030">
        <w:rPr>
          <w:rFonts w:ascii="Arial" w:hAnsi="Arial" w:cs="Arial"/>
        </w:rPr>
        <w:t>P</w:t>
      </w:r>
      <w:r w:rsidRPr="00BF5FBC">
        <w:rPr>
          <w:rFonts w:ascii="Arial" w:hAnsi="Arial" w:cs="Arial"/>
        </w:rPr>
        <w:t xml:space="preserve">rocess </w:t>
      </w:r>
      <w:r w:rsidR="00655030">
        <w:rPr>
          <w:rFonts w:ascii="Arial" w:hAnsi="Arial" w:cs="Arial"/>
        </w:rPr>
        <w:t>R</w:t>
      </w:r>
      <w:r w:rsidRPr="00BF5FBC">
        <w:rPr>
          <w:rFonts w:ascii="Arial" w:hAnsi="Arial" w:cs="Arial"/>
        </w:rPr>
        <w:t xml:space="preserve">eview </w:t>
      </w:r>
      <w:r w:rsidR="00655030">
        <w:rPr>
          <w:rFonts w:ascii="Arial" w:hAnsi="Arial" w:cs="Arial"/>
        </w:rPr>
        <w:t>P</w:t>
      </w:r>
      <w:r w:rsidRPr="00BF5FBC">
        <w:rPr>
          <w:rFonts w:ascii="Arial" w:hAnsi="Arial" w:cs="Arial"/>
        </w:rPr>
        <w:t>anel.</w:t>
      </w:r>
      <w:r w:rsidR="005F6E21">
        <w:rPr>
          <w:rFonts w:ascii="Arial" w:hAnsi="Arial" w:cs="Arial"/>
        </w:rPr>
        <w:t xml:space="preserve"> </w:t>
      </w:r>
      <w:r w:rsidRPr="005F6E21" w:rsidR="005F6E21">
        <w:rPr>
          <w:rFonts w:ascii="Arial" w:hAnsi="Arial" w:eastAsia="Times New Roman" w:cs="Arial"/>
          <w:color w:val="000000"/>
          <w:lang w:val="en-GB" w:eastAsia="en-GB"/>
        </w:rPr>
        <w:t xml:space="preserve">A finding of failure in the process of handling an IFR does not necessarily mean that the decision reached at a re-consideration by the Exceptional Cases Panel will be different. </w:t>
      </w:r>
    </w:p>
    <w:p w:rsidR="005F6E21" w:rsidP="005F6E21" w:rsidRDefault="005F6E21" w14:paraId="2D2B40DD" w14:textId="77777777">
      <w:pPr>
        <w:rPr>
          <w:rFonts w:ascii="Arial" w:hAnsi="Arial" w:cs="Arial"/>
          <w:lang w:val="en-GB"/>
        </w:rPr>
      </w:pPr>
      <w:r w:rsidRPr="005F6E21">
        <w:rPr>
          <w:rFonts w:ascii="Arial" w:hAnsi="Arial" w:cs="Arial"/>
          <w:lang w:val="en-GB"/>
        </w:rPr>
        <w:t xml:space="preserve">The ultimate decision will be provided to the requesting clinician who will be asked to share the decision with their patient. </w:t>
      </w:r>
    </w:p>
    <w:p w:rsidRPr="005C44E2" w:rsidR="00814C94" w:rsidP="00A41EED" w:rsidRDefault="00814C94" w14:paraId="68AEAB1E" w14:textId="71784C95">
      <w:pPr>
        <w:spacing w:after="0"/>
        <w:rPr>
          <w:rFonts w:ascii="Arial" w:hAnsi="Arial" w:cs="Arial"/>
          <w:b/>
          <w:bCs/>
          <w:color w:val="4F81BD" w:themeColor="accent1"/>
        </w:rPr>
      </w:pPr>
      <w:r w:rsidRPr="005C44E2">
        <w:rPr>
          <w:rFonts w:ascii="Arial" w:hAnsi="Arial" w:cs="Arial"/>
          <w:b/>
          <w:bCs/>
          <w:color w:val="4F81BD" w:themeColor="accent1"/>
        </w:rPr>
        <w:t xml:space="preserve">7.3 </w:t>
      </w:r>
      <w:r w:rsidR="00655513">
        <w:rPr>
          <w:rFonts w:ascii="Arial" w:hAnsi="Arial" w:cs="Arial"/>
          <w:b/>
          <w:bCs/>
          <w:color w:val="4F81BD" w:themeColor="accent1"/>
        </w:rPr>
        <w:t>Feedback relating to</w:t>
      </w:r>
      <w:r w:rsidRPr="005C44E2">
        <w:rPr>
          <w:rFonts w:ascii="Arial" w:hAnsi="Arial" w:cs="Arial"/>
          <w:b/>
          <w:bCs/>
          <w:color w:val="4F81BD" w:themeColor="accent1"/>
        </w:rPr>
        <w:t xml:space="preserve"> Clinical Policies</w:t>
      </w:r>
    </w:p>
    <w:p w:rsidRPr="0062464A" w:rsidR="00814C94" w:rsidP="00EC0C7F" w:rsidRDefault="00814C94" w14:paraId="0FE790C4" w14:textId="18D47392">
      <w:pPr>
        <w:spacing w:after="0"/>
        <w:rPr>
          <w:rFonts w:ascii="Arial" w:hAnsi="Arial" w:cs="Arial"/>
        </w:rPr>
      </w:pPr>
      <w:r w:rsidRPr="005C44E2">
        <w:rPr>
          <w:rFonts w:ascii="Arial" w:hAnsi="Arial" w:cs="Arial"/>
        </w:rPr>
        <w:t xml:space="preserve">Any </w:t>
      </w:r>
      <w:r w:rsidR="00655513">
        <w:rPr>
          <w:rFonts w:ascii="Arial" w:hAnsi="Arial" w:cs="Arial"/>
        </w:rPr>
        <w:t>feedback related</w:t>
      </w:r>
      <w:r w:rsidRPr="005C44E2">
        <w:rPr>
          <w:rFonts w:ascii="Arial" w:hAnsi="Arial" w:cs="Arial"/>
        </w:rPr>
        <w:t xml:space="preserve"> to Central East ICB Clinical Policies will </w:t>
      </w:r>
      <w:proofErr w:type="gramStart"/>
      <w:r w:rsidRPr="005C44E2">
        <w:rPr>
          <w:rFonts w:ascii="Arial" w:hAnsi="Arial" w:cs="Arial"/>
        </w:rPr>
        <w:t>be referred</w:t>
      </w:r>
      <w:proofErr w:type="gramEnd"/>
      <w:r w:rsidRPr="005C44E2">
        <w:rPr>
          <w:rFonts w:ascii="Arial" w:hAnsi="Arial" w:cs="Arial"/>
        </w:rPr>
        <w:t xml:space="preserve"> to the Clinical Policies Group</w:t>
      </w:r>
      <w:r w:rsidR="00655513">
        <w:rPr>
          <w:rFonts w:ascii="Arial" w:hAnsi="Arial" w:cs="Arial"/>
        </w:rPr>
        <w:t>.</w:t>
      </w:r>
    </w:p>
    <w:p w:rsidRPr="005F6E21" w:rsidR="00814C94" w:rsidP="005F6E21" w:rsidRDefault="00814C94" w14:paraId="731A6A58" w14:textId="77777777">
      <w:pPr>
        <w:rPr>
          <w:rFonts w:ascii="Arial" w:hAnsi="Arial" w:cs="Arial"/>
          <w:lang w:val="en-GB"/>
        </w:rPr>
      </w:pPr>
    </w:p>
    <w:p w:rsidRPr="0062464A" w:rsidR="00814C94" w:rsidP="00814C94" w:rsidRDefault="00814C94" w14:paraId="72798E23" w14:textId="050F94DF">
      <w:pPr>
        <w:pStyle w:val="Heading2"/>
        <w:rPr>
          <w:rFonts w:ascii="Arial" w:hAnsi="Arial" w:cs="Arial"/>
          <w:sz w:val="22"/>
          <w:szCs w:val="22"/>
        </w:rPr>
      </w:pPr>
      <w:r>
        <w:rPr>
          <w:rFonts w:ascii="Arial" w:hAnsi="Arial" w:cs="Arial"/>
          <w:sz w:val="22"/>
          <w:szCs w:val="22"/>
        </w:rPr>
        <w:t xml:space="preserve">8. Complaints </w:t>
      </w:r>
    </w:p>
    <w:p w:rsidR="00EC0C7F" w:rsidP="00A41EED" w:rsidRDefault="00BF5FBC" w14:paraId="2A98C8E1" w14:textId="7DAE46CA">
      <w:pPr>
        <w:rPr>
          <w:rFonts w:ascii="Arial" w:hAnsi="Arial" w:cs="Arial"/>
        </w:rPr>
      </w:pPr>
      <w:r w:rsidRPr="6F87A5EE">
        <w:rPr>
          <w:rFonts w:ascii="Arial" w:hAnsi="Arial" w:cs="Arial"/>
        </w:rPr>
        <w:t>All patients have the option of raising an informal concern via their NHS Trust Patient Advice and Liaison Service (PALs).</w:t>
      </w:r>
      <w:r w:rsidRPr="6F87A5EE" w:rsidR="00EC0C7F">
        <w:rPr>
          <w:rFonts w:ascii="Arial" w:hAnsi="Arial" w:cs="Arial"/>
        </w:rPr>
        <w:t xml:space="preserve"> </w:t>
      </w:r>
      <w:r>
        <w:br/>
      </w:r>
      <w:r w:rsidRPr="6F87A5EE" w:rsidR="00B42F39">
        <w:rPr>
          <w:rFonts w:ascii="Arial" w:hAnsi="Arial" w:cs="Arial"/>
        </w:rPr>
        <w:t>P</w:t>
      </w:r>
      <w:r w:rsidRPr="6F87A5EE">
        <w:rPr>
          <w:rFonts w:ascii="Arial" w:hAnsi="Arial" w:cs="Arial"/>
        </w:rPr>
        <w:t xml:space="preserve">atients can make a formal complaint to the </w:t>
      </w:r>
      <w:r w:rsidRPr="6F87A5EE" w:rsidR="00655030">
        <w:rPr>
          <w:rFonts w:ascii="Arial" w:hAnsi="Arial" w:cs="Arial"/>
        </w:rPr>
        <w:t>Central East</w:t>
      </w:r>
      <w:r w:rsidRPr="6F87A5EE">
        <w:rPr>
          <w:rFonts w:ascii="Arial" w:hAnsi="Arial" w:cs="Arial"/>
        </w:rPr>
        <w:t xml:space="preserve"> ICB Patient Experience Team</w:t>
      </w:r>
      <w:r w:rsidRPr="6F87A5EE" w:rsidR="00655030">
        <w:rPr>
          <w:rFonts w:ascii="Arial" w:hAnsi="Arial" w:cs="Arial"/>
        </w:rPr>
        <w:t xml:space="preserve"> </w:t>
      </w:r>
      <w:r w:rsidRPr="6F87A5EE">
        <w:rPr>
          <w:rFonts w:ascii="Arial" w:hAnsi="Arial" w:cs="Arial"/>
        </w:rPr>
        <w:t xml:space="preserve">at any point in the IFR process. </w:t>
      </w:r>
      <w:r w:rsidRPr="00BF5FBC">
        <w:rPr>
          <w:rFonts w:ascii="Arial" w:hAnsi="Arial" w:cs="Arial"/>
        </w:rPr>
        <w:t>Should there be any concern that the decision reached by the IFR Panel met any of the criteria</w:t>
      </w:r>
      <w:r w:rsidR="00B42F39">
        <w:rPr>
          <w:rFonts w:ascii="Arial" w:hAnsi="Arial" w:cs="Arial"/>
        </w:rPr>
        <w:t xml:space="preserve"> in</w:t>
      </w:r>
      <w:r w:rsidR="004160BA">
        <w:rPr>
          <w:rFonts w:ascii="Arial" w:hAnsi="Arial" w:cs="Arial"/>
        </w:rPr>
        <w:t xml:space="preserve"> section 7.2</w:t>
      </w:r>
      <w:r w:rsidRPr="00BF5FBC">
        <w:rPr>
          <w:rFonts w:ascii="Arial" w:hAnsi="Arial" w:cs="Arial"/>
        </w:rPr>
        <w:t xml:space="preserve"> an internal process review would be initiated, and the case will be </w:t>
      </w:r>
      <w:proofErr w:type="gramStart"/>
      <w:r w:rsidRPr="00BF5FBC">
        <w:rPr>
          <w:rFonts w:ascii="Arial" w:hAnsi="Arial" w:cs="Arial"/>
        </w:rPr>
        <w:t>referred back</w:t>
      </w:r>
      <w:proofErr w:type="gramEnd"/>
      <w:r w:rsidRPr="00BF5FBC">
        <w:rPr>
          <w:rFonts w:ascii="Arial" w:hAnsi="Arial" w:cs="Arial"/>
        </w:rPr>
        <w:t xml:space="preserve"> to </w:t>
      </w:r>
      <w:r w:rsidR="00B42F39">
        <w:rPr>
          <w:rFonts w:ascii="Arial" w:hAnsi="Arial" w:cs="Arial"/>
        </w:rPr>
        <w:t>the</w:t>
      </w:r>
      <w:r w:rsidRPr="00BF5FBC">
        <w:rPr>
          <w:rFonts w:ascii="Arial" w:hAnsi="Arial" w:cs="Arial"/>
        </w:rPr>
        <w:t xml:space="preserve"> IFR panel for reconsideration:</w:t>
      </w:r>
    </w:p>
    <w:p w:rsidRPr="00765FB5" w:rsidR="00765FB5" w:rsidP="00765FB5" w:rsidRDefault="00765FB5" w14:paraId="593E1DAA" w14:textId="7B86E0DA">
      <w:pPr>
        <w:rPr>
          <w:rFonts w:ascii="Arial" w:hAnsi="Arial" w:cs="Arial"/>
          <w:lang w:val="en-GB"/>
        </w:rPr>
      </w:pPr>
      <w:r w:rsidRPr="00765FB5">
        <w:rPr>
          <w:rFonts w:ascii="Arial" w:hAnsi="Arial" w:cs="Arial"/>
          <w:lang w:val="en-GB"/>
        </w:rPr>
        <w:t xml:space="preserve">The ICB has no obligation to commence or continue funding a treatment whilst </w:t>
      </w:r>
      <w:r>
        <w:rPr>
          <w:rFonts w:ascii="Arial" w:hAnsi="Arial" w:cs="Arial"/>
          <w:lang w:val="en-GB"/>
        </w:rPr>
        <w:t xml:space="preserve">any complaint, reconsideration request or process review </w:t>
      </w:r>
      <w:r w:rsidRPr="00765FB5">
        <w:rPr>
          <w:rFonts w:ascii="Arial" w:hAnsi="Arial" w:cs="Arial"/>
          <w:lang w:val="en-GB"/>
        </w:rPr>
        <w:t>is underway</w:t>
      </w:r>
      <w:r>
        <w:rPr>
          <w:rFonts w:ascii="Arial" w:hAnsi="Arial" w:cs="Arial"/>
          <w:lang w:val="en-GB"/>
        </w:rPr>
        <w:t xml:space="preserve">. Should a clinician believe that a delay in any </w:t>
      </w:r>
      <w:r>
        <w:rPr>
          <w:rFonts w:ascii="Arial" w:hAnsi="Arial" w:cs="Arial"/>
          <w:lang w:val="en-GB"/>
        </w:rPr>
        <w:t>definitive funding decision may put their patient</w:t>
      </w:r>
      <w:r w:rsidR="00EC0C7F">
        <w:rPr>
          <w:rFonts w:ascii="Arial" w:hAnsi="Arial" w:cs="Arial"/>
          <w:lang w:val="en-GB"/>
        </w:rPr>
        <w:t>’</w:t>
      </w:r>
      <w:r>
        <w:rPr>
          <w:rFonts w:ascii="Arial" w:hAnsi="Arial" w:cs="Arial"/>
          <w:lang w:val="en-GB"/>
        </w:rPr>
        <w:t>s life at risk, they should proceed to treat the patient</w:t>
      </w:r>
      <w:r w:rsidR="00F45424">
        <w:rPr>
          <w:rFonts w:ascii="Arial" w:hAnsi="Arial" w:cs="Arial"/>
          <w:lang w:val="en-GB"/>
        </w:rPr>
        <w:t>,</w:t>
      </w:r>
      <w:r>
        <w:rPr>
          <w:rFonts w:ascii="Arial" w:hAnsi="Arial" w:cs="Arial"/>
          <w:lang w:val="en-GB"/>
        </w:rPr>
        <w:t xml:space="preserve"> but this will be at their </w:t>
      </w:r>
      <w:r w:rsidR="00E52962">
        <w:rPr>
          <w:rFonts w:ascii="Arial" w:hAnsi="Arial" w:cs="Arial"/>
          <w:lang w:val="en-GB"/>
        </w:rPr>
        <w:t xml:space="preserve">own </w:t>
      </w:r>
      <w:r>
        <w:rPr>
          <w:rFonts w:ascii="Arial" w:hAnsi="Arial" w:cs="Arial"/>
          <w:lang w:val="en-GB"/>
        </w:rPr>
        <w:t xml:space="preserve">organisation’s financial risk and funding may not be provided. </w:t>
      </w:r>
    </w:p>
    <w:p w:rsidRPr="0062464A" w:rsidR="003B3F67" w:rsidP="003B3F67" w:rsidRDefault="00814C94" w14:paraId="79CBA09A" w14:textId="306EA863">
      <w:pPr>
        <w:pStyle w:val="Heading2"/>
        <w:rPr>
          <w:rFonts w:ascii="Arial" w:hAnsi="Arial" w:cs="Arial"/>
          <w:sz w:val="22"/>
          <w:szCs w:val="22"/>
        </w:rPr>
      </w:pPr>
      <w:r>
        <w:rPr>
          <w:rFonts w:ascii="Arial" w:hAnsi="Arial" w:cs="Arial"/>
          <w:sz w:val="22"/>
          <w:szCs w:val="22"/>
        </w:rPr>
        <w:t>9</w:t>
      </w:r>
      <w:r w:rsidR="003B3F67">
        <w:rPr>
          <w:rFonts w:ascii="Arial" w:hAnsi="Arial" w:cs="Arial"/>
          <w:sz w:val="22"/>
          <w:szCs w:val="22"/>
        </w:rPr>
        <w:t xml:space="preserve">. Monitoring Compliance </w:t>
      </w:r>
    </w:p>
    <w:p w:rsidR="00B87C47" w:rsidP="003B3F67" w:rsidRDefault="00B87C47" w14:paraId="085521C1" w14:textId="62C62D68">
      <w:pPr>
        <w:rPr>
          <w:rFonts w:ascii="Arial" w:hAnsi="Arial" w:cs="Arial"/>
        </w:rPr>
      </w:pPr>
      <w:r w:rsidRPr="00B44FB0">
        <w:rPr>
          <w:rFonts w:ascii="Arial" w:hAnsi="Arial" w:cs="Arial"/>
        </w:rPr>
        <w:t>Monitoring and Review of the IFR policy and process will take place</w:t>
      </w:r>
      <w:r w:rsidRPr="00B44FB0" w:rsidR="002540AE">
        <w:rPr>
          <w:rFonts w:ascii="Arial" w:hAnsi="Arial" w:cs="Arial"/>
        </w:rPr>
        <w:t xml:space="preserve"> regularly</w:t>
      </w:r>
      <w:r w:rsidRPr="00B44FB0">
        <w:rPr>
          <w:rFonts w:ascii="Arial" w:hAnsi="Arial" w:cs="Arial"/>
        </w:rPr>
        <w:t xml:space="preserve"> to ensure that decision making is fair, consistent and that IFR cases are </w:t>
      </w:r>
      <w:proofErr w:type="gramStart"/>
      <w:r w:rsidRPr="00B44FB0">
        <w:rPr>
          <w:rFonts w:ascii="Arial" w:hAnsi="Arial" w:cs="Arial"/>
        </w:rPr>
        <w:t>being considered</w:t>
      </w:r>
      <w:proofErr w:type="gramEnd"/>
      <w:r w:rsidRPr="00B44FB0">
        <w:rPr>
          <w:rFonts w:ascii="Arial" w:hAnsi="Arial" w:cs="Arial"/>
        </w:rPr>
        <w:t xml:space="preserve"> at the appropriate stage of the process. The </w:t>
      </w:r>
      <w:r w:rsidRPr="00B44FB0" w:rsidR="002540AE">
        <w:rPr>
          <w:rFonts w:ascii="Arial" w:hAnsi="Arial" w:cs="Arial"/>
        </w:rPr>
        <w:t xml:space="preserve">Resource Utilisation </w:t>
      </w:r>
      <w:r w:rsidRPr="00B44FB0" w:rsidR="00F907FF">
        <w:rPr>
          <w:rFonts w:ascii="Arial" w:hAnsi="Arial" w:cs="Arial"/>
        </w:rPr>
        <w:t>Programme</w:t>
      </w:r>
      <w:r w:rsidRPr="00B44FB0" w:rsidR="002540AE">
        <w:rPr>
          <w:rFonts w:ascii="Arial" w:hAnsi="Arial" w:cs="Arial"/>
        </w:rPr>
        <w:t xml:space="preserve"> Board </w:t>
      </w:r>
      <w:r w:rsidRPr="00B44FB0">
        <w:rPr>
          <w:rFonts w:ascii="Arial" w:hAnsi="Arial" w:cs="Arial"/>
        </w:rPr>
        <w:t>will receive report</w:t>
      </w:r>
      <w:r w:rsidRPr="00B44FB0" w:rsidR="002540AE">
        <w:rPr>
          <w:rFonts w:ascii="Arial" w:hAnsi="Arial" w:cs="Arial"/>
        </w:rPr>
        <w:t>s</w:t>
      </w:r>
      <w:r w:rsidRPr="00B44FB0">
        <w:rPr>
          <w:rFonts w:ascii="Arial" w:hAnsi="Arial" w:cs="Arial"/>
        </w:rPr>
        <w:t xml:space="preserve"> from the IFR Team to enable the process to </w:t>
      </w:r>
      <w:proofErr w:type="gramStart"/>
      <w:r w:rsidRPr="00B44FB0">
        <w:rPr>
          <w:rFonts w:ascii="Arial" w:hAnsi="Arial" w:cs="Arial"/>
        </w:rPr>
        <w:t>be evaluated</w:t>
      </w:r>
      <w:proofErr w:type="gramEnd"/>
      <w:r w:rsidRPr="00B44FB0">
        <w:rPr>
          <w:rFonts w:ascii="Arial" w:hAnsi="Arial" w:cs="Arial"/>
        </w:rPr>
        <w:t xml:space="preserve"> including the consistency of decision making and to consider any improvements that could be made.</w:t>
      </w:r>
      <w:r w:rsidRPr="0062464A">
        <w:rPr>
          <w:rFonts w:ascii="Arial" w:hAnsi="Arial" w:cs="Arial"/>
        </w:rPr>
        <w:t xml:space="preserve"> </w:t>
      </w:r>
    </w:p>
    <w:p w:rsidR="00B87C47" w:rsidP="003B3F67" w:rsidRDefault="00B87C47" w14:paraId="1B4FAD4C" w14:textId="7E181F98">
      <w:pPr>
        <w:rPr>
          <w:rFonts w:ascii="Arial" w:hAnsi="Arial" w:cs="Arial"/>
        </w:rPr>
      </w:pPr>
      <w:r w:rsidRPr="0062464A">
        <w:rPr>
          <w:rFonts w:ascii="Arial" w:hAnsi="Arial" w:cs="Arial"/>
        </w:rPr>
        <w:t xml:space="preserve">The </w:t>
      </w:r>
      <w:r w:rsidR="002540AE">
        <w:rPr>
          <w:rFonts w:ascii="Arial" w:hAnsi="Arial" w:cs="Arial"/>
        </w:rPr>
        <w:t>IFR team</w:t>
      </w:r>
      <w:r w:rsidRPr="0062464A">
        <w:rPr>
          <w:rFonts w:ascii="Arial" w:hAnsi="Arial" w:cs="Arial"/>
        </w:rPr>
        <w:t xml:space="preserve"> will </w:t>
      </w:r>
      <w:r w:rsidR="002540AE">
        <w:rPr>
          <w:rFonts w:ascii="Arial" w:hAnsi="Arial" w:cs="Arial"/>
        </w:rPr>
        <w:t>consider any feedback received relating to</w:t>
      </w:r>
      <w:r w:rsidRPr="0062464A">
        <w:rPr>
          <w:rFonts w:ascii="Arial" w:hAnsi="Arial" w:cs="Arial"/>
        </w:rPr>
        <w:t xml:space="preserve"> the</w:t>
      </w:r>
      <w:r w:rsidR="002540AE">
        <w:rPr>
          <w:rFonts w:ascii="Arial" w:hAnsi="Arial" w:cs="Arial"/>
        </w:rPr>
        <w:t xml:space="preserve"> IFR policy and</w:t>
      </w:r>
      <w:r w:rsidRPr="0062464A">
        <w:rPr>
          <w:rFonts w:ascii="Arial" w:hAnsi="Arial" w:cs="Arial"/>
        </w:rPr>
        <w:t xml:space="preserve"> process to contribute to ongoing improvements.</w:t>
      </w:r>
    </w:p>
    <w:p w:rsidRPr="00E26DC4" w:rsidR="00A50FBA" w:rsidP="00E26DC4" w:rsidRDefault="00A50FBA" w14:paraId="62E8CE28" w14:textId="1366F05C">
      <w:pPr>
        <w:rPr>
          <w:rFonts w:ascii="Arial" w:hAnsi="Arial" w:cs="Arial"/>
        </w:rPr>
      </w:pPr>
      <w:r w:rsidRPr="00706985">
        <w:rPr>
          <w:rFonts w:ascii="Arial" w:hAnsi="Arial" w:cs="Arial"/>
        </w:rPr>
        <w:t xml:space="preserve">This policy will </w:t>
      </w:r>
      <w:proofErr w:type="gramStart"/>
      <w:r w:rsidRPr="00706985">
        <w:rPr>
          <w:rFonts w:ascii="Arial" w:hAnsi="Arial" w:cs="Arial"/>
        </w:rPr>
        <w:t>be monitored</w:t>
      </w:r>
      <w:proofErr w:type="gramEnd"/>
      <w:r w:rsidRPr="00706985">
        <w:rPr>
          <w:rFonts w:ascii="Arial" w:hAnsi="Arial" w:cs="Arial"/>
        </w:rPr>
        <w:t xml:space="preserve"> by the IFR team and IFR Panel as it is applied to daily practice. Any issues will </w:t>
      </w:r>
      <w:proofErr w:type="gramStart"/>
      <w:r w:rsidRPr="00706985">
        <w:rPr>
          <w:rFonts w:ascii="Arial" w:hAnsi="Arial" w:cs="Arial"/>
        </w:rPr>
        <w:t>be raised</w:t>
      </w:r>
      <w:proofErr w:type="gramEnd"/>
      <w:r w:rsidRPr="00706985">
        <w:rPr>
          <w:rFonts w:ascii="Arial" w:hAnsi="Arial" w:cs="Arial"/>
        </w:rPr>
        <w:t xml:space="preserve"> to </w:t>
      </w:r>
      <w:r w:rsidRPr="00B44FB0">
        <w:rPr>
          <w:rFonts w:ascii="Arial" w:hAnsi="Arial" w:cs="Arial"/>
        </w:rPr>
        <w:t xml:space="preserve">the </w:t>
      </w:r>
      <w:r w:rsidRPr="00B44FB0" w:rsidR="00B44FB0">
        <w:rPr>
          <w:rFonts w:ascii="Arial" w:hAnsi="Arial" w:cs="Arial"/>
        </w:rPr>
        <w:t>Senior Manager</w:t>
      </w:r>
      <w:r w:rsidRPr="00B44FB0">
        <w:rPr>
          <w:rFonts w:ascii="Arial" w:hAnsi="Arial" w:cs="Arial"/>
        </w:rPr>
        <w:t xml:space="preserve"> or Associate Director</w:t>
      </w:r>
      <w:r w:rsidRPr="00706985">
        <w:rPr>
          <w:rFonts w:ascii="Arial" w:hAnsi="Arial" w:cs="Arial"/>
        </w:rPr>
        <w:t xml:space="preserve"> who are responsible for reviewing and updating the policy</w:t>
      </w:r>
      <w:r>
        <w:rPr>
          <w:rFonts w:ascii="Arial" w:hAnsi="Arial" w:cs="Arial"/>
        </w:rPr>
        <w:t>.</w:t>
      </w:r>
      <w:r w:rsidRPr="00706985">
        <w:rPr>
          <w:rFonts w:ascii="Arial" w:hAnsi="Arial" w:cs="Arial"/>
          <w:color w:val="FF0000"/>
        </w:rPr>
        <w:t xml:space="preserve"> </w:t>
      </w:r>
      <w:r w:rsidRPr="00E76F47">
        <w:rPr>
          <w:rFonts w:ascii="Arial" w:hAnsi="Arial" w:cs="Arial"/>
        </w:rPr>
        <w:t xml:space="preserve">The IFR Team will participate in internal peer audit and feedback </w:t>
      </w:r>
      <w:r w:rsidRPr="00E76F47" w:rsidR="008076D6">
        <w:rPr>
          <w:rFonts w:ascii="Arial" w:hAnsi="Arial" w:cs="Arial"/>
        </w:rPr>
        <w:t>on</w:t>
      </w:r>
      <w:r w:rsidRPr="00E76F47">
        <w:rPr>
          <w:rFonts w:ascii="Arial" w:hAnsi="Arial" w:cs="Arial"/>
        </w:rPr>
        <w:t xml:space="preserve"> funding decisions relating to IFRs. Any trends or themes </w:t>
      </w:r>
      <w:proofErr w:type="gramStart"/>
      <w:r w:rsidRPr="00E76F47">
        <w:rPr>
          <w:rFonts w:ascii="Arial" w:hAnsi="Arial" w:cs="Arial"/>
        </w:rPr>
        <w:t>are captured</w:t>
      </w:r>
      <w:proofErr w:type="gramEnd"/>
      <w:r w:rsidRPr="00E76F47">
        <w:rPr>
          <w:rFonts w:ascii="Arial" w:hAnsi="Arial" w:cs="Arial"/>
        </w:rPr>
        <w:t xml:space="preserve"> and reported </w:t>
      </w:r>
      <w:r>
        <w:rPr>
          <w:rFonts w:ascii="Arial" w:hAnsi="Arial" w:cs="Arial"/>
        </w:rPr>
        <w:t xml:space="preserve">in the </w:t>
      </w:r>
      <w:r w:rsidRPr="00E76F47">
        <w:rPr>
          <w:rFonts w:ascii="Arial" w:hAnsi="Arial" w:cs="Arial"/>
        </w:rPr>
        <w:t xml:space="preserve">IFR report as well </w:t>
      </w:r>
      <w:r w:rsidR="003B3F67">
        <w:rPr>
          <w:rFonts w:ascii="Arial" w:hAnsi="Arial" w:cs="Arial"/>
        </w:rPr>
        <w:t xml:space="preserve">as </w:t>
      </w:r>
      <w:r w:rsidRPr="00E76F47">
        <w:rPr>
          <w:rFonts w:ascii="Arial" w:hAnsi="Arial" w:cs="Arial"/>
        </w:rPr>
        <w:t xml:space="preserve">learning opportunities for clinical decision makers which are included in regular </w:t>
      </w:r>
      <w:r w:rsidR="003B3F67">
        <w:rPr>
          <w:rFonts w:ascii="Arial" w:hAnsi="Arial" w:cs="Arial"/>
        </w:rPr>
        <w:t>training</w:t>
      </w:r>
      <w:r w:rsidRPr="00E76F47">
        <w:rPr>
          <w:rFonts w:ascii="Arial" w:hAnsi="Arial" w:cs="Arial"/>
        </w:rPr>
        <w:t xml:space="preserve"> and </w:t>
      </w:r>
      <w:r w:rsidR="003B3F67">
        <w:rPr>
          <w:rFonts w:ascii="Arial" w:hAnsi="Arial" w:cs="Arial"/>
        </w:rPr>
        <w:t>reflection</w:t>
      </w:r>
      <w:r w:rsidRPr="00E76F47">
        <w:rPr>
          <w:rFonts w:ascii="Arial" w:hAnsi="Arial" w:cs="Arial"/>
        </w:rPr>
        <w:t xml:space="preserve"> </w:t>
      </w:r>
      <w:r w:rsidRPr="00E573AD">
        <w:rPr>
          <w:rFonts w:ascii="Arial" w:hAnsi="Arial" w:cs="Arial"/>
        </w:rPr>
        <w:t xml:space="preserve">sessions (see section </w:t>
      </w:r>
      <w:r w:rsidRPr="00E573AD" w:rsidR="00F45424">
        <w:rPr>
          <w:rFonts w:ascii="Arial" w:hAnsi="Arial" w:cs="Arial"/>
        </w:rPr>
        <w:t>10</w:t>
      </w:r>
      <w:r w:rsidRPr="00E573AD">
        <w:rPr>
          <w:rFonts w:ascii="Arial" w:hAnsi="Arial" w:cs="Arial"/>
        </w:rPr>
        <w:t>).</w:t>
      </w:r>
      <w:r w:rsidRPr="00E76F47">
        <w:rPr>
          <w:rFonts w:ascii="Arial" w:hAnsi="Arial" w:cs="Arial"/>
        </w:rPr>
        <w:t xml:space="preserve"> </w:t>
      </w:r>
    </w:p>
    <w:p w:rsidRPr="0062464A" w:rsidR="003B3F67" w:rsidP="003B3F67" w:rsidRDefault="00814C94" w14:paraId="6D700025" w14:textId="6597231D">
      <w:pPr>
        <w:pStyle w:val="Heading2"/>
        <w:rPr>
          <w:rFonts w:ascii="Arial" w:hAnsi="Arial" w:cs="Arial"/>
          <w:sz w:val="22"/>
          <w:szCs w:val="22"/>
        </w:rPr>
      </w:pPr>
      <w:r>
        <w:rPr>
          <w:rFonts w:ascii="Arial" w:hAnsi="Arial" w:cs="Arial"/>
          <w:sz w:val="22"/>
          <w:szCs w:val="22"/>
        </w:rPr>
        <w:t>10</w:t>
      </w:r>
      <w:r w:rsidR="003B3F67">
        <w:rPr>
          <w:rFonts w:ascii="Arial" w:hAnsi="Arial" w:cs="Arial"/>
          <w:sz w:val="22"/>
          <w:szCs w:val="22"/>
        </w:rPr>
        <w:t>. Education and Training</w:t>
      </w:r>
    </w:p>
    <w:p w:rsidRPr="00E72B22" w:rsidR="00A50FBA" w:rsidP="003B3F67" w:rsidRDefault="00A50FBA" w14:paraId="4B091AC7" w14:textId="2BA37777">
      <w:pPr>
        <w:rPr>
          <w:rFonts w:ascii="Arial" w:hAnsi="Arial" w:cs="Arial"/>
          <w:b/>
          <w:bCs/>
        </w:rPr>
      </w:pPr>
      <w:r w:rsidRPr="00E72B22">
        <w:rPr>
          <w:rFonts w:ascii="Arial" w:hAnsi="Arial" w:cs="Arial"/>
        </w:rPr>
        <w:t xml:space="preserve">All members of </w:t>
      </w:r>
      <w:r w:rsidRPr="00E573AD">
        <w:rPr>
          <w:rFonts w:ascii="Arial" w:hAnsi="Arial" w:cs="Arial"/>
        </w:rPr>
        <w:t xml:space="preserve">the </w:t>
      </w:r>
      <w:r w:rsidR="00BE0824">
        <w:rPr>
          <w:rFonts w:ascii="Arial" w:hAnsi="Arial" w:cs="Arial"/>
        </w:rPr>
        <w:t xml:space="preserve">Triage, </w:t>
      </w:r>
      <w:r w:rsidRPr="00E573AD">
        <w:rPr>
          <w:rFonts w:ascii="Arial" w:hAnsi="Arial" w:cs="Arial"/>
        </w:rPr>
        <w:t>Screening Group and</w:t>
      </w:r>
      <w:r w:rsidRPr="00E72B22">
        <w:rPr>
          <w:rFonts w:ascii="Arial" w:hAnsi="Arial" w:cs="Arial"/>
        </w:rPr>
        <w:t xml:space="preserve"> IFR Panel must be trained to a minimum standard</w:t>
      </w:r>
      <w:proofErr w:type="gramStart"/>
      <w:r w:rsidRPr="00E72B22">
        <w:rPr>
          <w:rFonts w:ascii="Arial" w:hAnsi="Arial" w:cs="Arial"/>
        </w:rPr>
        <w:t xml:space="preserve">.  </w:t>
      </w:r>
      <w:proofErr w:type="gramEnd"/>
      <w:r w:rsidRPr="00E72B22">
        <w:rPr>
          <w:rFonts w:ascii="Arial" w:hAnsi="Arial" w:cs="Arial"/>
        </w:rPr>
        <w:t xml:space="preserve">This includes participation in at least </w:t>
      </w:r>
      <w:proofErr w:type="gramStart"/>
      <w:r w:rsidRPr="00E72B22">
        <w:rPr>
          <w:rFonts w:ascii="Arial" w:hAnsi="Arial" w:cs="Arial"/>
        </w:rPr>
        <w:t>2</w:t>
      </w:r>
      <w:proofErr w:type="gramEnd"/>
      <w:r w:rsidRPr="00E72B22">
        <w:rPr>
          <w:rFonts w:ascii="Arial" w:hAnsi="Arial" w:cs="Arial"/>
        </w:rPr>
        <w:t xml:space="preserve"> regular IFR panels per annum (for IFR members), and an annual training event, OR can demonstrate equivalent and up to date training. </w:t>
      </w:r>
      <w:r w:rsidRPr="00E72B22">
        <w:rPr>
          <w:rFonts w:ascii="Arial" w:hAnsi="Arial" w:cs="Arial"/>
        </w:rPr>
        <w:br/>
      </w:r>
      <w:r w:rsidRPr="00E72B22">
        <w:rPr>
          <w:rFonts w:ascii="Arial" w:hAnsi="Arial" w:cs="Arial"/>
        </w:rPr>
        <w:t xml:space="preserve">Clinical decision makers should engage in peer review and feedback processes for learning opportunities and to ensure fair and consistent decision making. </w:t>
      </w:r>
      <w:r w:rsidRPr="00AF3B75">
        <w:rPr>
          <w:rFonts w:ascii="Arial" w:hAnsi="Arial" w:cs="Arial"/>
        </w:rPr>
        <w:t xml:space="preserve">All members of </w:t>
      </w:r>
      <w:r>
        <w:rPr>
          <w:rFonts w:ascii="Arial" w:hAnsi="Arial" w:cs="Arial"/>
        </w:rPr>
        <w:t xml:space="preserve">ICB </w:t>
      </w:r>
      <w:r w:rsidRPr="00AF3B75">
        <w:rPr>
          <w:rFonts w:ascii="Arial" w:hAnsi="Arial" w:cs="Arial"/>
        </w:rPr>
        <w:t xml:space="preserve">staff must be up to date with </w:t>
      </w:r>
      <w:r w:rsidRPr="00AF3B75" w:rsidR="008076D6">
        <w:rPr>
          <w:rFonts w:ascii="Arial" w:hAnsi="Arial" w:cs="Arial"/>
        </w:rPr>
        <w:t>mandatory ICB</w:t>
      </w:r>
      <w:r w:rsidRPr="00AF3B75">
        <w:rPr>
          <w:rFonts w:ascii="Arial" w:hAnsi="Arial" w:cs="Arial"/>
        </w:rPr>
        <w:t xml:space="preserve"> training. </w:t>
      </w:r>
    </w:p>
    <w:p w:rsidRPr="00E72B22" w:rsidR="00A50FBA" w:rsidP="00A50FBA" w:rsidRDefault="00A50FBA" w14:paraId="37552613" w14:textId="77777777">
      <w:pPr>
        <w:spacing w:after="0" w:line="240" w:lineRule="auto"/>
        <w:rPr>
          <w:rFonts w:ascii="Arial" w:hAnsi="Arial" w:cs="Arial"/>
        </w:rPr>
      </w:pPr>
    </w:p>
    <w:p w:rsidRPr="0062464A" w:rsidR="003B3F67" w:rsidP="003B3F67" w:rsidRDefault="00814C94" w14:paraId="04EAC62E" w14:textId="4854426E">
      <w:pPr>
        <w:pStyle w:val="Heading2"/>
        <w:rPr>
          <w:rFonts w:ascii="Arial" w:hAnsi="Arial" w:cs="Arial"/>
          <w:sz w:val="22"/>
          <w:szCs w:val="22"/>
        </w:rPr>
      </w:pPr>
      <w:r>
        <w:rPr>
          <w:rFonts w:ascii="Arial" w:hAnsi="Arial" w:cs="Arial"/>
          <w:sz w:val="22"/>
          <w:szCs w:val="22"/>
        </w:rPr>
        <w:t>11</w:t>
      </w:r>
      <w:r w:rsidR="003B3F67">
        <w:rPr>
          <w:rFonts w:ascii="Arial" w:hAnsi="Arial" w:cs="Arial"/>
          <w:sz w:val="22"/>
          <w:szCs w:val="22"/>
        </w:rPr>
        <w:t>. Associated Documentation</w:t>
      </w:r>
    </w:p>
    <w:p w:rsidRPr="003B3F67" w:rsidR="00A50FBA" w:rsidP="003B3F67" w:rsidRDefault="00A50FBA" w14:paraId="58A28250" w14:textId="47749528">
      <w:pPr>
        <w:spacing w:after="0" w:line="240" w:lineRule="auto"/>
        <w:rPr>
          <w:rFonts w:ascii="Arial" w:hAnsi="Arial" w:cs="Arial"/>
        </w:rPr>
      </w:pPr>
    </w:p>
    <w:p w:rsidRPr="00E76F47" w:rsidR="00A50FBA" w:rsidP="00A50FBA" w:rsidRDefault="00A50FBA" w14:paraId="6D6E27FA" w14:textId="77777777">
      <w:pPr>
        <w:pStyle w:val="ListParagraph"/>
        <w:spacing w:after="0" w:line="240" w:lineRule="auto"/>
        <w:ind w:left="-37"/>
        <w:rPr>
          <w:rFonts w:ascii="Arial" w:hAnsi="Arial" w:cs="Arial"/>
        </w:rPr>
      </w:pPr>
      <w:r>
        <w:rPr>
          <w:rFonts w:ascii="Arial" w:hAnsi="Arial" w:cs="Arial"/>
        </w:rPr>
        <w:t>IFR Screening Group</w:t>
      </w:r>
      <w:r w:rsidRPr="00706985">
        <w:rPr>
          <w:rFonts w:ascii="Arial" w:hAnsi="Arial" w:cs="Arial"/>
        </w:rPr>
        <w:t xml:space="preserve"> and Panel members </w:t>
      </w:r>
      <w:proofErr w:type="gramStart"/>
      <w:r w:rsidRPr="00706985">
        <w:rPr>
          <w:rFonts w:ascii="Arial" w:hAnsi="Arial" w:cs="Arial"/>
        </w:rPr>
        <w:t>are recommended</w:t>
      </w:r>
      <w:proofErr w:type="gramEnd"/>
      <w:r w:rsidRPr="00706985">
        <w:rPr>
          <w:rFonts w:ascii="Arial" w:hAnsi="Arial" w:cs="Arial"/>
        </w:rPr>
        <w:t xml:space="preserve"> to read.</w:t>
      </w:r>
    </w:p>
    <w:p w:rsidRPr="00706985" w:rsidR="00A50FBA" w:rsidP="00D87A65" w:rsidRDefault="00A50FBA" w14:paraId="360097C2" w14:textId="21167183">
      <w:pPr>
        <w:pStyle w:val="ListParagraph"/>
        <w:numPr>
          <w:ilvl w:val="0"/>
          <w:numId w:val="19"/>
        </w:numPr>
        <w:spacing w:after="0" w:line="240" w:lineRule="auto"/>
        <w:rPr>
          <w:rFonts w:ascii="Arial" w:hAnsi="Arial" w:cs="Arial"/>
        </w:rPr>
      </w:pPr>
      <w:r>
        <w:rPr>
          <w:rFonts w:ascii="Arial" w:hAnsi="Arial" w:cs="Arial"/>
        </w:rPr>
        <w:t xml:space="preserve">Area Prescribing Committee </w:t>
      </w:r>
      <w:r w:rsidRPr="00706985">
        <w:rPr>
          <w:rFonts w:ascii="Arial" w:hAnsi="Arial" w:cs="Arial"/>
        </w:rPr>
        <w:t>Ethical Framework.</w:t>
      </w:r>
    </w:p>
    <w:p w:rsidRPr="00E76F47" w:rsidR="00A50FBA" w:rsidP="00D87A65" w:rsidRDefault="00A50FBA" w14:paraId="4FCAC3B8" w14:textId="77777777">
      <w:pPr>
        <w:pStyle w:val="ListParagraph"/>
        <w:numPr>
          <w:ilvl w:val="0"/>
          <w:numId w:val="19"/>
        </w:numPr>
        <w:spacing w:after="0" w:line="240" w:lineRule="auto"/>
        <w:rPr>
          <w:rFonts w:ascii="Arial" w:hAnsi="Arial" w:cs="Arial"/>
        </w:rPr>
      </w:pPr>
      <w:r w:rsidRPr="00E76F47">
        <w:rPr>
          <w:rFonts w:ascii="Arial" w:hAnsi="Arial" w:cs="Arial"/>
        </w:rPr>
        <w:t xml:space="preserve">Priority Setting: Managing Individual Funding Requests by Dr Daphne Austin, and published by the NHS Confederation and the Primary Care Trust Network </w:t>
      </w:r>
      <w:hyperlink w:history="1" r:id="rId14">
        <w:r w:rsidRPr="00E76F47">
          <w:rPr>
            <w:rStyle w:val="Hyperlink"/>
            <w:rFonts w:ascii="Arial" w:hAnsi="Arial" w:cs="Arial"/>
          </w:rPr>
          <w:t>https://www.nhsconfed.org/sites/default/files/2022-05/Priority-setting-funding-requests.pdf</w:t>
        </w:r>
      </w:hyperlink>
      <w:r w:rsidRPr="00E76F47">
        <w:rPr>
          <w:rFonts w:ascii="Arial" w:hAnsi="Arial" w:cs="Arial"/>
        </w:rPr>
        <w:t xml:space="preserve"> </w:t>
      </w:r>
    </w:p>
    <w:p w:rsidRPr="00E76F47" w:rsidR="00A50FBA" w:rsidP="00D87A65" w:rsidRDefault="00A50FBA" w14:paraId="30C3464E" w14:textId="77777777">
      <w:pPr>
        <w:pStyle w:val="ListParagraph"/>
        <w:numPr>
          <w:ilvl w:val="0"/>
          <w:numId w:val="19"/>
        </w:numPr>
        <w:spacing w:after="0" w:line="240" w:lineRule="auto"/>
        <w:rPr>
          <w:rStyle w:val="Hyperlink"/>
          <w:rFonts w:ascii="Arial" w:hAnsi="Arial" w:cs="Arial"/>
          <w:color w:val="auto"/>
        </w:rPr>
      </w:pPr>
      <w:r w:rsidRPr="00E76F47">
        <w:rPr>
          <w:rFonts w:ascii="Arial" w:hAnsi="Arial" w:cs="Arial"/>
        </w:rPr>
        <w:t xml:space="preserve">Supporting rational local decision making about medicines and treatments; A handbook of good practice guidance. February 2009. National Prescribing Centre </w:t>
      </w:r>
      <w:hyperlink w:history="1" r:id="rId15">
        <w:r w:rsidRPr="00E76F47">
          <w:rPr>
            <w:rStyle w:val="Hyperlink"/>
            <w:rFonts w:ascii="Arial" w:hAnsi="Arial" w:cs="Arial"/>
          </w:rPr>
          <w:t>http://webarchive.nationalarchives.gov.uk/20130107105354/http:/www.npc.nhs.uk/local_decision_making/constitution_handbook.php</w:t>
        </w:r>
      </w:hyperlink>
    </w:p>
    <w:p w:rsidRPr="005C11C4" w:rsidR="00A50FBA" w:rsidP="00D87A65" w:rsidRDefault="00A50FBA" w14:paraId="4E6CFDB8" w14:textId="77777777">
      <w:pPr>
        <w:pStyle w:val="ListParagraph"/>
        <w:numPr>
          <w:ilvl w:val="0"/>
          <w:numId w:val="19"/>
        </w:numPr>
        <w:spacing w:after="0" w:line="240" w:lineRule="auto"/>
        <w:rPr>
          <w:rStyle w:val="Hyperlink"/>
          <w:rFonts w:ascii="Arial" w:hAnsi="Arial" w:cs="Arial"/>
          <w:color w:val="auto"/>
        </w:rPr>
      </w:pPr>
      <w:r w:rsidRPr="00E76F47">
        <w:rPr>
          <w:rFonts w:ascii="Arial" w:hAnsi="Arial" w:cs="Arial"/>
        </w:rPr>
        <w:t>Defining guiding principles for processes supporting local decision making about medicines. January 2009. National prescribing Centre, commissioned by DoH</w:t>
      </w:r>
      <w:r>
        <w:rPr>
          <w:rFonts w:ascii="Arial" w:hAnsi="Arial" w:cs="Arial"/>
        </w:rPr>
        <w:t>.</w:t>
      </w:r>
      <w:r w:rsidRPr="00E76F47">
        <w:rPr>
          <w:rFonts w:ascii="Arial" w:hAnsi="Arial" w:cs="Arial"/>
        </w:rPr>
        <w:t xml:space="preserve"> </w:t>
      </w:r>
      <w:hyperlink w:history="1" r:id="rId16">
        <w:r w:rsidRPr="00E76F47">
          <w:rPr>
            <w:rStyle w:val="Hyperlink"/>
            <w:rFonts w:ascii="Arial" w:hAnsi="Arial" w:cs="Arial"/>
          </w:rPr>
          <w:t>http://webarchive.nationalarchives.gov.uk/20130107105354/http:/www.dh.gov.uk/en/Publicationsandstatistics/Publications/PublicationsPolicyAndGuidance/DH_093413</w:t>
        </w:r>
      </w:hyperlink>
    </w:p>
    <w:p w:rsidR="00A50FBA" w:rsidP="00A50FBA" w:rsidRDefault="00A50FBA" w14:paraId="464E5E73" w14:textId="77777777">
      <w:pPr>
        <w:spacing w:after="0" w:line="240" w:lineRule="auto"/>
        <w:rPr>
          <w:rFonts w:ascii="Arial" w:hAnsi="Arial" w:cs="Arial"/>
        </w:rPr>
      </w:pPr>
    </w:p>
    <w:p w:rsidR="6B9DE975" w:rsidP="6B9DE975" w:rsidRDefault="6B9DE975" w14:paraId="296D2F10" w14:textId="71A9FAA4">
      <w:pPr>
        <w:spacing w:after="0" w:line="240" w:lineRule="auto"/>
        <w:rPr>
          <w:rFonts w:ascii="Arial" w:hAnsi="Arial" w:cs="Arial"/>
        </w:rPr>
      </w:pPr>
    </w:p>
    <w:p w:rsidR="00A50FBA" w:rsidP="00A50FBA" w:rsidRDefault="00A50FBA" w14:paraId="3DC347BE" w14:textId="77777777">
      <w:pPr>
        <w:spacing w:after="0" w:line="240" w:lineRule="auto"/>
        <w:rPr>
          <w:rFonts w:ascii="Arial" w:hAnsi="Arial" w:cs="Arial"/>
        </w:rPr>
      </w:pPr>
    </w:p>
    <w:p w:rsidRPr="00E26DC4" w:rsidR="00A50FBA" w:rsidP="00E26DC4" w:rsidRDefault="003B3F67" w14:paraId="52BFACC3" w14:textId="76497EBD">
      <w:pPr>
        <w:pStyle w:val="Heading2"/>
        <w:rPr>
          <w:rFonts w:ascii="Arial" w:hAnsi="Arial" w:cs="Arial"/>
          <w:sz w:val="22"/>
          <w:szCs w:val="22"/>
        </w:rPr>
      </w:pPr>
      <w:r>
        <w:rPr>
          <w:rFonts w:ascii="Arial" w:hAnsi="Arial" w:cs="Arial"/>
          <w:sz w:val="22"/>
          <w:szCs w:val="22"/>
        </w:rPr>
        <w:t>1</w:t>
      </w:r>
      <w:r w:rsidR="00814C94">
        <w:rPr>
          <w:rFonts w:ascii="Arial" w:hAnsi="Arial" w:cs="Arial"/>
          <w:sz w:val="22"/>
          <w:szCs w:val="22"/>
        </w:rPr>
        <w:t>2</w:t>
      </w:r>
      <w:r>
        <w:rPr>
          <w:rFonts w:ascii="Arial" w:hAnsi="Arial" w:cs="Arial"/>
          <w:sz w:val="22"/>
          <w:szCs w:val="22"/>
        </w:rPr>
        <w:t>. References</w:t>
      </w:r>
    </w:p>
    <w:p w:rsidRPr="00E76F47" w:rsidR="00A50FBA" w:rsidP="00D87A65" w:rsidRDefault="00A50FBA" w14:paraId="1E53A59C" w14:textId="77777777">
      <w:pPr>
        <w:pStyle w:val="ListParagraph"/>
        <w:numPr>
          <w:ilvl w:val="0"/>
          <w:numId w:val="18"/>
        </w:numPr>
        <w:rPr>
          <w:rFonts w:ascii="Arial" w:hAnsi="Arial" w:cs="Arial"/>
        </w:rPr>
      </w:pPr>
      <w:r w:rsidRPr="00E76F47">
        <w:rPr>
          <w:rFonts w:ascii="Arial" w:hAnsi="Arial" w:cs="Arial"/>
        </w:rPr>
        <w:t>NHS Constitution (January 2021)</w:t>
      </w:r>
      <w:r w:rsidRPr="00E76F47">
        <w:rPr>
          <w:rFonts w:ascii="Arial" w:hAnsi="Arial" w:cs="Arial"/>
        </w:rPr>
        <w:br/>
      </w:r>
      <w:r w:rsidRPr="00E76F47">
        <w:rPr>
          <w:rFonts w:ascii="Arial" w:hAnsi="Arial" w:cs="Arial"/>
        </w:rPr>
        <w:t xml:space="preserve"> </w:t>
      </w:r>
      <w:hyperlink w:history="1" r:id="rId17">
        <w:r w:rsidRPr="00E76F47">
          <w:rPr>
            <w:rStyle w:val="Hyperlink"/>
            <w:rFonts w:ascii="Arial" w:hAnsi="Arial" w:cs="Arial"/>
          </w:rPr>
          <w:t>https://www.gov.uk/government/publications/the-nhs-constitution-for-england/the-nhs-constitution-for-england</w:t>
        </w:r>
      </w:hyperlink>
      <w:r w:rsidRPr="00E76F47">
        <w:rPr>
          <w:rFonts w:ascii="Arial" w:hAnsi="Arial" w:cs="Arial"/>
        </w:rPr>
        <w:t xml:space="preserve"> </w:t>
      </w:r>
    </w:p>
    <w:p w:rsidR="00A50FBA" w:rsidP="00D87A65" w:rsidRDefault="00A50FBA" w14:paraId="0A051350" w14:textId="77777777">
      <w:pPr>
        <w:pStyle w:val="ListParagraph"/>
        <w:numPr>
          <w:ilvl w:val="0"/>
          <w:numId w:val="18"/>
        </w:numPr>
        <w:rPr>
          <w:rFonts w:ascii="Arial" w:hAnsi="Arial" w:cs="Arial"/>
        </w:rPr>
      </w:pPr>
      <w:r w:rsidRPr="00E76F47">
        <w:rPr>
          <w:rFonts w:ascii="Arial" w:hAnsi="Arial" w:cs="Arial"/>
        </w:rPr>
        <w:t>NHS England Commissioning Policy – Individual Funding Requests (20</w:t>
      </w:r>
      <w:r>
        <w:rPr>
          <w:rFonts w:ascii="Arial" w:hAnsi="Arial" w:cs="Arial"/>
        </w:rPr>
        <w:t>23</w:t>
      </w:r>
      <w:r w:rsidRPr="00E76F47">
        <w:rPr>
          <w:rFonts w:ascii="Arial" w:hAnsi="Arial" w:cs="Arial"/>
        </w:rPr>
        <w:t xml:space="preserve">) </w:t>
      </w:r>
      <w:hyperlink w:history="1" r:id="rId18">
        <w:r w:rsidRPr="00641DFE">
          <w:rPr>
            <w:rStyle w:val="Hyperlink"/>
            <w:rFonts w:ascii="Arial" w:hAnsi="Arial" w:cs="Arial"/>
          </w:rPr>
          <w:t>https://www.england.nhs.uk/wp-content/uploads/2017/11/B2086-commissioning-policy-individual-funding-requests-v3.pdf</w:t>
        </w:r>
      </w:hyperlink>
      <w:r>
        <w:rPr>
          <w:rFonts w:ascii="Arial" w:hAnsi="Arial" w:cs="Arial"/>
        </w:rPr>
        <w:t xml:space="preserve"> </w:t>
      </w:r>
    </w:p>
    <w:p w:rsidRPr="00E76F47" w:rsidR="00ED476C" w:rsidP="00D87A65" w:rsidRDefault="00ED476C" w14:paraId="43F340A2" w14:textId="117D79B2">
      <w:pPr>
        <w:pStyle w:val="ListParagraph"/>
        <w:numPr>
          <w:ilvl w:val="0"/>
          <w:numId w:val="18"/>
        </w:numPr>
        <w:rPr>
          <w:rFonts w:ascii="Arial" w:hAnsi="Arial" w:cs="Arial"/>
        </w:rPr>
      </w:pPr>
      <w:r>
        <w:rPr>
          <w:rFonts w:ascii="Arial" w:hAnsi="Arial" w:cs="Arial"/>
        </w:rPr>
        <w:t xml:space="preserve">NHS England - Who Pays? (July 2025) </w:t>
      </w:r>
      <w:hyperlink w:history="1" r:id="rId19">
        <w:r w:rsidRPr="00ED476C">
          <w:rPr>
            <w:rStyle w:val="Hyperlink"/>
            <w:rFonts w:ascii="Arial" w:hAnsi="Arial" w:cs="Arial"/>
          </w:rPr>
          <w:t>NHS England » Who Pays?</w:t>
        </w:r>
      </w:hyperlink>
    </w:p>
    <w:p w:rsidRPr="00E76F47" w:rsidR="00A50FBA" w:rsidP="00D87A65" w:rsidRDefault="00A50FBA" w14:paraId="7FC29C08" w14:textId="77777777">
      <w:pPr>
        <w:pStyle w:val="ListParagraph"/>
        <w:numPr>
          <w:ilvl w:val="0"/>
          <w:numId w:val="18"/>
        </w:numPr>
        <w:rPr>
          <w:rFonts w:ascii="Arial" w:hAnsi="Arial" w:cs="Arial"/>
        </w:rPr>
      </w:pPr>
      <w:r w:rsidRPr="00E76F47">
        <w:rPr>
          <w:rFonts w:ascii="Arial" w:hAnsi="Arial" w:cs="Arial"/>
        </w:rPr>
        <w:t xml:space="preserve">Equality Act (2010) </w:t>
      </w:r>
      <w:hyperlink w:history="1" r:id="rId20">
        <w:r w:rsidRPr="00E76F47">
          <w:rPr>
            <w:rStyle w:val="Hyperlink"/>
            <w:rFonts w:ascii="Arial" w:hAnsi="Arial" w:cs="Arial"/>
          </w:rPr>
          <w:t>https://www.legislation.gov.uk/ukpga/2010/15/contents</w:t>
        </w:r>
      </w:hyperlink>
      <w:r w:rsidRPr="00E76F47">
        <w:rPr>
          <w:rFonts w:ascii="Arial" w:hAnsi="Arial" w:cs="Arial"/>
        </w:rPr>
        <w:t xml:space="preserve"> </w:t>
      </w:r>
    </w:p>
    <w:p w:rsidRPr="00E76F47" w:rsidR="00A50FBA" w:rsidP="00D87A65" w:rsidRDefault="00A50FBA" w14:paraId="69F53BD0" w14:textId="77777777">
      <w:pPr>
        <w:pStyle w:val="ListParagraph"/>
        <w:numPr>
          <w:ilvl w:val="0"/>
          <w:numId w:val="18"/>
        </w:numPr>
        <w:spacing w:after="0"/>
        <w:rPr>
          <w:rFonts w:ascii="Arial" w:hAnsi="Arial" w:cs="Arial"/>
        </w:rPr>
      </w:pPr>
      <w:r w:rsidRPr="00E76F47">
        <w:rPr>
          <w:rFonts w:ascii="Arial" w:hAnsi="Arial" w:cs="Arial"/>
        </w:rPr>
        <w:t xml:space="preserve">Medicines for Human Use (Clinical Trials) Regulations 2004. </w:t>
      </w:r>
      <w:hyperlink w:history="1" r:id="rId21">
        <w:r w:rsidRPr="00E76F47">
          <w:rPr>
            <w:rStyle w:val="Hyperlink"/>
            <w:rFonts w:ascii="Arial" w:hAnsi="Arial" w:cs="Arial"/>
          </w:rPr>
          <w:t>https://www.legislation.gov.uk/uksi/2004/1031/contents/made</w:t>
        </w:r>
      </w:hyperlink>
      <w:r w:rsidRPr="00E76F47">
        <w:rPr>
          <w:rFonts w:ascii="Arial" w:hAnsi="Arial" w:cs="Arial"/>
        </w:rPr>
        <w:t xml:space="preserve"> </w:t>
      </w:r>
    </w:p>
    <w:p w:rsidRPr="00646996" w:rsidR="00A50FBA" w:rsidP="00D87A65" w:rsidRDefault="00A50FBA" w14:paraId="00048D35" w14:textId="77777777">
      <w:pPr>
        <w:pStyle w:val="ListParagraph"/>
        <w:numPr>
          <w:ilvl w:val="0"/>
          <w:numId w:val="18"/>
        </w:numPr>
        <w:rPr>
          <w:rFonts w:ascii="Arial" w:hAnsi="Arial" w:cs="Arial"/>
          <w:color w:val="0000FF" w:themeColor="hyperlink"/>
          <w:u w:val="single"/>
        </w:rPr>
      </w:pPr>
      <w:r w:rsidRPr="00E76F47">
        <w:rPr>
          <w:rFonts w:ascii="Arial" w:hAnsi="Arial" w:cs="Arial"/>
        </w:rPr>
        <w:t xml:space="preserve">World Medical Association (WMA) Declaration </w:t>
      </w:r>
      <w:r w:rsidRPr="00E76F47">
        <w:rPr>
          <w:rFonts w:ascii="Arial" w:hAnsi="Arial" w:cs="Arial"/>
          <w:spacing w:val="-3"/>
        </w:rPr>
        <w:t xml:space="preserve">of </w:t>
      </w:r>
      <w:r w:rsidRPr="00E76F47">
        <w:rPr>
          <w:rFonts w:ascii="Arial" w:hAnsi="Arial" w:cs="Arial"/>
        </w:rPr>
        <w:t xml:space="preserve">Helsinki (2018) </w:t>
      </w:r>
      <w:r w:rsidRPr="00E76F47">
        <w:rPr>
          <w:rFonts w:ascii="Arial" w:hAnsi="Arial" w:cs="Arial"/>
        </w:rPr>
        <w:br/>
      </w:r>
      <w:hyperlink w:history="1" r:id="rId22">
        <w:r w:rsidRPr="00E76F47">
          <w:rPr>
            <w:rStyle w:val="Hyperlink"/>
            <w:rFonts w:ascii="Arial" w:hAnsi="Arial" w:cs="Arial"/>
          </w:rPr>
          <w:t>https://www.wma.net/policies-post/wma-declaration-of-helsinki-ethical-principles-for-medical-research-involving-human-subjects/</w:t>
        </w:r>
      </w:hyperlink>
    </w:p>
    <w:p w:rsidR="00646996" w:rsidP="00646996" w:rsidRDefault="00646996" w14:paraId="6851AE78" w14:textId="77777777">
      <w:pPr>
        <w:pStyle w:val="ListParagraph"/>
        <w:rPr>
          <w:rFonts w:ascii="Arial" w:hAnsi="Arial" w:cs="Arial"/>
        </w:rPr>
      </w:pPr>
    </w:p>
    <w:p w:rsidR="00646996" w:rsidP="00646996" w:rsidRDefault="00646996" w14:paraId="151B3E3C" w14:textId="77777777">
      <w:pPr>
        <w:pStyle w:val="ListParagraph"/>
        <w:rPr>
          <w:rFonts w:ascii="Arial" w:hAnsi="Arial" w:cs="Arial"/>
        </w:rPr>
      </w:pPr>
    </w:p>
    <w:p w:rsidR="00646996" w:rsidP="00646996" w:rsidRDefault="00646996" w14:paraId="1C53FF80" w14:textId="77777777">
      <w:pPr>
        <w:pStyle w:val="ListParagraph"/>
        <w:rPr>
          <w:rFonts w:ascii="Arial" w:hAnsi="Arial" w:cs="Arial"/>
        </w:rPr>
      </w:pPr>
    </w:p>
    <w:p w:rsidR="00646996" w:rsidP="00646996" w:rsidRDefault="00646996" w14:paraId="346BB098" w14:textId="77777777">
      <w:pPr>
        <w:pStyle w:val="ListParagraph"/>
        <w:rPr>
          <w:rFonts w:ascii="Arial" w:hAnsi="Arial" w:cs="Arial"/>
        </w:rPr>
      </w:pPr>
    </w:p>
    <w:p w:rsidR="00646996" w:rsidP="00646996" w:rsidRDefault="00646996" w14:paraId="3AFEF723" w14:textId="77777777">
      <w:pPr>
        <w:pStyle w:val="ListParagraph"/>
        <w:rPr>
          <w:rFonts w:ascii="Arial" w:hAnsi="Arial" w:cs="Arial"/>
        </w:rPr>
      </w:pPr>
    </w:p>
    <w:p w:rsidR="00646996" w:rsidP="00646996" w:rsidRDefault="00646996" w14:paraId="78E3B3D7" w14:textId="77777777">
      <w:pPr>
        <w:pStyle w:val="ListParagraph"/>
        <w:rPr>
          <w:rFonts w:ascii="Arial" w:hAnsi="Arial" w:cs="Arial"/>
        </w:rPr>
      </w:pPr>
    </w:p>
    <w:p w:rsidR="00646996" w:rsidP="00646996" w:rsidRDefault="00646996" w14:paraId="165F1A78" w14:textId="77777777">
      <w:pPr>
        <w:pStyle w:val="ListParagraph"/>
        <w:rPr>
          <w:rFonts w:ascii="Arial" w:hAnsi="Arial" w:cs="Arial"/>
        </w:rPr>
      </w:pPr>
    </w:p>
    <w:p w:rsidRPr="00E76F47" w:rsidR="00646996" w:rsidP="00646996" w:rsidRDefault="00646996" w14:paraId="31851045" w14:textId="77777777">
      <w:pPr>
        <w:pStyle w:val="ListParagraph"/>
        <w:rPr>
          <w:rStyle w:val="Hyperlink"/>
          <w:rFonts w:ascii="Arial" w:hAnsi="Arial" w:cs="Arial"/>
        </w:rPr>
      </w:pPr>
    </w:p>
    <w:p w:rsidRPr="00A41EED" w:rsidR="00AF05A8" w:rsidP="00A41EED" w:rsidRDefault="00AF05A8" w14:paraId="1BBC3E24" w14:textId="1B7B323B">
      <w:pPr>
        <w:pStyle w:val="Heading2"/>
        <w:rPr>
          <w:rFonts w:ascii="Arial" w:hAnsi="Arial" w:cs="Arial"/>
        </w:rPr>
      </w:pPr>
      <w:r>
        <w:t>Appendix</w:t>
      </w:r>
      <w:r w:rsidR="00A41EED">
        <w:t xml:space="preserve"> 1 </w:t>
      </w:r>
      <w:r w:rsidRPr="00A41EED">
        <w:rPr>
          <w:rFonts w:ascii="Arial" w:hAnsi="Arial" w:cs="Arial"/>
        </w:rPr>
        <w:t xml:space="preserve">Glossary of </w:t>
      </w:r>
      <w:r w:rsidRPr="00A41EED" w:rsidR="00A41EED">
        <w:rPr>
          <w:rFonts w:ascii="Arial" w:hAnsi="Arial" w:cs="Arial"/>
        </w:rPr>
        <w:t>abbreviations</w:t>
      </w:r>
    </w:p>
    <w:p w:rsidR="00A41EED" w:rsidP="00A41EED" w:rsidRDefault="00A41EED" w14:paraId="542DDA63" w14:textId="77777777">
      <w:pPr>
        <w:pStyle w:val="ListParagraph"/>
        <w:rPr>
          <w:rFonts w:ascii="Arial" w:hAnsi="Arial" w:cs="Arial"/>
        </w:rPr>
      </w:pPr>
    </w:p>
    <w:tbl>
      <w:tblPr>
        <w:tblStyle w:val="TableGrid"/>
        <w:tblW w:w="0" w:type="auto"/>
        <w:tblLook w:val="04A0" w:firstRow="1" w:lastRow="0" w:firstColumn="1" w:lastColumn="0" w:noHBand="0" w:noVBand="1"/>
      </w:tblPr>
      <w:tblGrid>
        <w:gridCol w:w="1696"/>
        <w:gridCol w:w="7320"/>
      </w:tblGrid>
      <w:tr w:rsidRPr="000A67A7" w:rsidR="00A41EED" w:rsidTr="00F87104" w14:paraId="0AF65E4F" w14:textId="77777777">
        <w:tc>
          <w:tcPr>
            <w:tcW w:w="1696" w:type="dxa"/>
          </w:tcPr>
          <w:p w:rsidRPr="000A67A7" w:rsidR="00A41EED" w:rsidP="00F87104" w:rsidRDefault="00A41EED" w14:paraId="766D1536" w14:textId="77777777">
            <w:pPr>
              <w:jc w:val="center"/>
              <w:rPr>
                <w:rFonts w:ascii="Arial" w:hAnsi="Arial" w:cs="Arial"/>
                <w:b/>
                <w:bCs/>
                <w:sz w:val="24"/>
                <w:szCs w:val="24"/>
              </w:rPr>
            </w:pPr>
            <w:r w:rsidRPr="000A67A7">
              <w:rPr>
                <w:rFonts w:ascii="Arial" w:hAnsi="Arial" w:cs="Arial"/>
                <w:b/>
                <w:bCs/>
                <w:sz w:val="24"/>
                <w:szCs w:val="24"/>
              </w:rPr>
              <w:t>Abbreviation</w:t>
            </w:r>
          </w:p>
        </w:tc>
        <w:tc>
          <w:tcPr>
            <w:tcW w:w="7320" w:type="dxa"/>
          </w:tcPr>
          <w:p w:rsidR="00A41EED" w:rsidP="00F87104" w:rsidRDefault="00A41EED" w14:paraId="51D3B3F3" w14:textId="77777777">
            <w:pPr>
              <w:jc w:val="center"/>
              <w:rPr>
                <w:rFonts w:ascii="Arial" w:hAnsi="Arial" w:cs="Arial"/>
                <w:b/>
                <w:bCs/>
                <w:sz w:val="24"/>
                <w:szCs w:val="24"/>
              </w:rPr>
            </w:pPr>
            <w:r w:rsidRPr="000A67A7">
              <w:rPr>
                <w:rFonts w:ascii="Arial" w:hAnsi="Arial" w:cs="Arial"/>
                <w:b/>
                <w:bCs/>
                <w:sz w:val="24"/>
                <w:szCs w:val="24"/>
              </w:rPr>
              <w:t>Meaning</w:t>
            </w:r>
          </w:p>
          <w:p w:rsidR="00A41EED" w:rsidP="00F87104" w:rsidRDefault="00A41EED" w14:paraId="41AB4A84" w14:textId="77777777">
            <w:pPr>
              <w:jc w:val="center"/>
              <w:rPr>
                <w:rFonts w:ascii="Arial" w:hAnsi="Arial" w:cs="Arial"/>
                <w:b/>
                <w:bCs/>
                <w:sz w:val="24"/>
                <w:szCs w:val="24"/>
              </w:rPr>
            </w:pPr>
          </w:p>
          <w:p w:rsidRPr="000A67A7" w:rsidR="00A41EED" w:rsidP="00F87104" w:rsidRDefault="00A41EED" w14:paraId="6356909A" w14:textId="77777777">
            <w:pPr>
              <w:jc w:val="center"/>
              <w:rPr>
                <w:rFonts w:ascii="Arial" w:hAnsi="Arial" w:cs="Arial"/>
                <w:b/>
                <w:bCs/>
                <w:sz w:val="24"/>
                <w:szCs w:val="24"/>
              </w:rPr>
            </w:pPr>
          </w:p>
        </w:tc>
      </w:tr>
      <w:tr w:rsidRPr="000A67A7" w:rsidR="00A41EED" w:rsidTr="00F87104" w14:paraId="75AD6891" w14:textId="77777777">
        <w:tc>
          <w:tcPr>
            <w:tcW w:w="1696" w:type="dxa"/>
          </w:tcPr>
          <w:p w:rsidRPr="000A67A7" w:rsidR="00A41EED" w:rsidP="00F87104" w:rsidRDefault="00A41EED" w14:paraId="721D5E09" w14:textId="57E11496">
            <w:pPr>
              <w:rPr>
                <w:rFonts w:ascii="Arial" w:hAnsi="Arial" w:cs="Arial"/>
                <w:sz w:val="24"/>
                <w:szCs w:val="24"/>
              </w:rPr>
            </w:pPr>
            <w:r>
              <w:rPr>
                <w:rFonts w:ascii="Arial" w:hAnsi="Arial" w:cs="Arial"/>
                <w:sz w:val="24"/>
                <w:szCs w:val="24"/>
              </w:rPr>
              <w:t>APC</w:t>
            </w:r>
          </w:p>
        </w:tc>
        <w:tc>
          <w:tcPr>
            <w:tcW w:w="7320" w:type="dxa"/>
          </w:tcPr>
          <w:p w:rsidRPr="000A67A7" w:rsidR="00A41EED" w:rsidP="00F87104" w:rsidRDefault="00A41EED" w14:paraId="6BAD629F" w14:textId="25882D9A">
            <w:pPr>
              <w:rPr>
                <w:rFonts w:ascii="Arial" w:hAnsi="Arial" w:cs="Arial"/>
                <w:sz w:val="24"/>
                <w:szCs w:val="24"/>
              </w:rPr>
            </w:pPr>
            <w:r>
              <w:rPr>
                <w:rFonts w:ascii="Arial" w:hAnsi="Arial" w:cs="Arial"/>
                <w:sz w:val="24"/>
                <w:szCs w:val="24"/>
              </w:rPr>
              <w:t>Area Prescribing Committee</w:t>
            </w:r>
          </w:p>
        </w:tc>
      </w:tr>
      <w:tr w:rsidRPr="000A67A7" w:rsidR="00A41EED" w:rsidTr="00F87104" w14:paraId="52B9DAA3" w14:textId="77777777">
        <w:tc>
          <w:tcPr>
            <w:tcW w:w="1696" w:type="dxa"/>
          </w:tcPr>
          <w:p w:rsidR="00A41EED" w:rsidP="00F87104" w:rsidRDefault="00A41EED" w14:paraId="51503D97" w14:textId="083B12E5">
            <w:pPr>
              <w:rPr>
                <w:rFonts w:ascii="Arial" w:hAnsi="Arial" w:cs="Arial"/>
                <w:sz w:val="24"/>
                <w:szCs w:val="24"/>
              </w:rPr>
            </w:pPr>
            <w:r>
              <w:rPr>
                <w:rFonts w:ascii="Arial" w:hAnsi="Arial" w:cs="Arial"/>
                <w:sz w:val="24"/>
                <w:szCs w:val="24"/>
              </w:rPr>
              <w:t>CPG</w:t>
            </w:r>
          </w:p>
        </w:tc>
        <w:tc>
          <w:tcPr>
            <w:tcW w:w="7320" w:type="dxa"/>
          </w:tcPr>
          <w:p w:rsidR="00A41EED" w:rsidP="00F87104" w:rsidRDefault="00A41EED" w14:paraId="0E57A0A0" w14:textId="6BDA7CE2">
            <w:pPr>
              <w:rPr>
                <w:rFonts w:ascii="Arial" w:hAnsi="Arial" w:cs="Arial"/>
                <w:sz w:val="24"/>
                <w:szCs w:val="24"/>
              </w:rPr>
            </w:pPr>
            <w:r>
              <w:rPr>
                <w:rFonts w:ascii="Arial" w:hAnsi="Arial" w:cs="Arial"/>
                <w:sz w:val="24"/>
                <w:szCs w:val="24"/>
              </w:rPr>
              <w:t>Clinical Policies Group</w:t>
            </w:r>
          </w:p>
        </w:tc>
      </w:tr>
      <w:tr w:rsidRPr="000A67A7" w:rsidR="00A41EED" w:rsidTr="00F87104" w14:paraId="67BA4752" w14:textId="77777777">
        <w:tc>
          <w:tcPr>
            <w:tcW w:w="1696" w:type="dxa"/>
          </w:tcPr>
          <w:p w:rsidRPr="000A67A7" w:rsidR="00A41EED" w:rsidP="00F87104" w:rsidRDefault="00A41EED" w14:paraId="42C1A494" w14:textId="77777777">
            <w:pPr>
              <w:rPr>
                <w:rFonts w:ascii="Arial" w:hAnsi="Arial" w:cs="Arial"/>
                <w:sz w:val="24"/>
                <w:szCs w:val="24"/>
              </w:rPr>
            </w:pPr>
            <w:r w:rsidRPr="000A67A7">
              <w:rPr>
                <w:rFonts w:ascii="Arial" w:hAnsi="Arial" w:cs="Arial"/>
                <w:sz w:val="24"/>
                <w:szCs w:val="24"/>
              </w:rPr>
              <w:t>GP</w:t>
            </w:r>
          </w:p>
        </w:tc>
        <w:tc>
          <w:tcPr>
            <w:tcW w:w="7320" w:type="dxa"/>
          </w:tcPr>
          <w:p w:rsidRPr="000A67A7" w:rsidR="00A41EED" w:rsidP="00F87104" w:rsidRDefault="00A41EED" w14:paraId="19D3A6FF" w14:textId="77777777">
            <w:pPr>
              <w:rPr>
                <w:rFonts w:ascii="Arial" w:hAnsi="Arial" w:cs="Arial"/>
                <w:sz w:val="24"/>
                <w:szCs w:val="24"/>
              </w:rPr>
            </w:pPr>
            <w:r w:rsidRPr="000A67A7">
              <w:rPr>
                <w:rFonts w:ascii="Arial" w:hAnsi="Arial" w:cs="Arial"/>
                <w:sz w:val="24"/>
                <w:szCs w:val="24"/>
              </w:rPr>
              <w:t>General Practice / Practitioner</w:t>
            </w:r>
          </w:p>
        </w:tc>
      </w:tr>
      <w:tr w:rsidRPr="000A67A7" w:rsidR="00A41EED" w:rsidTr="00F87104" w14:paraId="5CCBE839" w14:textId="77777777">
        <w:tc>
          <w:tcPr>
            <w:tcW w:w="1696" w:type="dxa"/>
          </w:tcPr>
          <w:p w:rsidRPr="000A67A7" w:rsidR="00A41EED" w:rsidP="00F87104" w:rsidRDefault="00A41EED" w14:paraId="3B7DD3DE" w14:textId="77777777">
            <w:pPr>
              <w:rPr>
                <w:rFonts w:ascii="Arial" w:hAnsi="Arial" w:cs="Arial"/>
                <w:sz w:val="24"/>
                <w:szCs w:val="24"/>
              </w:rPr>
            </w:pPr>
            <w:r w:rsidRPr="000A67A7">
              <w:rPr>
                <w:rFonts w:ascii="Arial" w:hAnsi="Arial" w:cs="Arial"/>
                <w:sz w:val="24"/>
                <w:szCs w:val="24"/>
              </w:rPr>
              <w:t>HWE</w:t>
            </w:r>
          </w:p>
        </w:tc>
        <w:tc>
          <w:tcPr>
            <w:tcW w:w="7320" w:type="dxa"/>
          </w:tcPr>
          <w:p w:rsidRPr="000A67A7" w:rsidR="00A41EED" w:rsidP="00F87104" w:rsidRDefault="00A41EED" w14:paraId="6535D226" w14:textId="77777777">
            <w:pPr>
              <w:rPr>
                <w:rFonts w:ascii="Arial" w:hAnsi="Arial" w:cs="Arial"/>
                <w:sz w:val="24"/>
                <w:szCs w:val="24"/>
              </w:rPr>
            </w:pPr>
            <w:r w:rsidRPr="000A67A7">
              <w:rPr>
                <w:rFonts w:ascii="Arial" w:hAnsi="Arial" w:cs="Arial"/>
                <w:sz w:val="24"/>
                <w:szCs w:val="24"/>
              </w:rPr>
              <w:t>Hertfordshire and West Essex</w:t>
            </w:r>
          </w:p>
        </w:tc>
      </w:tr>
      <w:tr w:rsidRPr="000A67A7" w:rsidR="00A41EED" w:rsidTr="00F87104" w14:paraId="10241BAB" w14:textId="77777777">
        <w:tc>
          <w:tcPr>
            <w:tcW w:w="1696" w:type="dxa"/>
          </w:tcPr>
          <w:p w:rsidRPr="000A67A7" w:rsidR="00A41EED" w:rsidP="00F87104" w:rsidRDefault="00A41EED" w14:paraId="50A3C0EA" w14:textId="77777777">
            <w:pPr>
              <w:rPr>
                <w:rFonts w:ascii="Arial" w:hAnsi="Arial" w:cs="Arial"/>
                <w:sz w:val="24"/>
                <w:szCs w:val="24"/>
              </w:rPr>
            </w:pPr>
            <w:r w:rsidRPr="000A67A7">
              <w:rPr>
                <w:rFonts w:ascii="Arial" w:hAnsi="Arial" w:cs="Arial"/>
                <w:sz w:val="24"/>
                <w:szCs w:val="24"/>
              </w:rPr>
              <w:t>ICB</w:t>
            </w:r>
          </w:p>
        </w:tc>
        <w:tc>
          <w:tcPr>
            <w:tcW w:w="7320" w:type="dxa"/>
          </w:tcPr>
          <w:p w:rsidRPr="000A67A7" w:rsidR="00A41EED" w:rsidP="00F87104" w:rsidRDefault="00A41EED" w14:paraId="352CBB8F" w14:textId="77777777">
            <w:pPr>
              <w:rPr>
                <w:rFonts w:ascii="Arial" w:hAnsi="Arial" w:cs="Arial"/>
                <w:sz w:val="24"/>
                <w:szCs w:val="24"/>
              </w:rPr>
            </w:pPr>
            <w:r w:rsidRPr="000A67A7">
              <w:rPr>
                <w:rFonts w:ascii="Arial" w:hAnsi="Arial" w:cs="Arial"/>
                <w:sz w:val="24"/>
                <w:szCs w:val="24"/>
              </w:rPr>
              <w:t>Integrated Care Board</w:t>
            </w:r>
          </w:p>
        </w:tc>
      </w:tr>
      <w:tr w:rsidRPr="000A67A7" w:rsidR="00A41EED" w:rsidTr="00F87104" w14:paraId="6844B424" w14:textId="77777777">
        <w:tc>
          <w:tcPr>
            <w:tcW w:w="1696" w:type="dxa"/>
          </w:tcPr>
          <w:p w:rsidRPr="000A67A7" w:rsidR="00A41EED" w:rsidP="00F87104" w:rsidRDefault="00A41EED" w14:paraId="544623DF" w14:textId="77777777">
            <w:pPr>
              <w:rPr>
                <w:rFonts w:ascii="Arial" w:hAnsi="Arial" w:cs="Arial"/>
                <w:sz w:val="24"/>
                <w:szCs w:val="24"/>
              </w:rPr>
            </w:pPr>
            <w:r w:rsidRPr="000A67A7">
              <w:rPr>
                <w:rFonts w:ascii="Arial" w:hAnsi="Arial" w:cs="Arial"/>
                <w:sz w:val="24"/>
                <w:szCs w:val="24"/>
              </w:rPr>
              <w:t>ICS</w:t>
            </w:r>
          </w:p>
        </w:tc>
        <w:tc>
          <w:tcPr>
            <w:tcW w:w="7320" w:type="dxa"/>
          </w:tcPr>
          <w:p w:rsidRPr="000A67A7" w:rsidR="00A41EED" w:rsidP="00F87104" w:rsidRDefault="00A41EED" w14:paraId="21DAF70F" w14:textId="77777777">
            <w:pPr>
              <w:rPr>
                <w:rFonts w:ascii="Arial" w:hAnsi="Arial" w:cs="Arial"/>
                <w:sz w:val="24"/>
                <w:szCs w:val="24"/>
              </w:rPr>
            </w:pPr>
            <w:r w:rsidRPr="000A67A7">
              <w:rPr>
                <w:rFonts w:ascii="Arial" w:hAnsi="Arial" w:cs="Arial"/>
                <w:sz w:val="24"/>
                <w:szCs w:val="24"/>
              </w:rPr>
              <w:t>Integrated Care System</w:t>
            </w:r>
          </w:p>
        </w:tc>
      </w:tr>
      <w:tr w:rsidRPr="000A67A7" w:rsidR="00A41EED" w:rsidTr="00F87104" w14:paraId="47B3E149" w14:textId="77777777">
        <w:tc>
          <w:tcPr>
            <w:tcW w:w="1696" w:type="dxa"/>
          </w:tcPr>
          <w:p w:rsidRPr="000A67A7" w:rsidR="00A41EED" w:rsidP="00F87104" w:rsidRDefault="00A41EED" w14:paraId="74A67BCF" w14:textId="77777777">
            <w:pPr>
              <w:rPr>
                <w:rFonts w:ascii="Arial" w:hAnsi="Arial" w:cs="Arial"/>
                <w:sz w:val="24"/>
                <w:szCs w:val="24"/>
              </w:rPr>
            </w:pPr>
            <w:r w:rsidRPr="000A67A7">
              <w:rPr>
                <w:rFonts w:ascii="Arial" w:hAnsi="Arial" w:cs="Arial"/>
                <w:sz w:val="24"/>
                <w:szCs w:val="24"/>
              </w:rPr>
              <w:t>IFR</w:t>
            </w:r>
          </w:p>
        </w:tc>
        <w:tc>
          <w:tcPr>
            <w:tcW w:w="7320" w:type="dxa"/>
          </w:tcPr>
          <w:p w:rsidRPr="000A67A7" w:rsidR="00A41EED" w:rsidP="00F87104" w:rsidRDefault="00A41EED" w14:paraId="31E8B6A7" w14:textId="77777777">
            <w:pPr>
              <w:rPr>
                <w:rFonts w:ascii="Arial" w:hAnsi="Arial" w:cs="Arial"/>
                <w:sz w:val="24"/>
                <w:szCs w:val="24"/>
              </w:rPr>
            </w:pPr>
            <w:r w:rsidRPr="000A67A7">
              <w:rPr>
                <w:rFonts w:ascii="Arial" w:hAnsi="Arial" w:cs="Arial"/>
                <w:sz w:val="24"/>
                <w:szCs w:val="24"/>
              </w:rPr>
              <w:t>Individual Funding Request</w:t>
            </w:r>
          </w:p>
        </w:tc>
      </w:tr>
      <w:tr w:rsidRPr="000A67A7" w:rsidR="00A41EED" w:rsidTr="00F87104" w14:paraId="17AA9A7D" w14:textId="77777777">
        <w:tc>
          <w:tcPr>
            <w:tcW w:w="1696" w:type="dxa"/>
          </w:tcPr>
          <w:p w:rsidRPr="000A67A7" w:rsidR="00A41EED" w:rsidP="00F87104" w:rsidRDefault="00A41EED" w14:paraId="3DE54B13" w14:textId="77777777">
            <w:pPr>
              <w:rPr>
                <w:rFonts w:ascii="Arial" w:hAnsi="Arial" w:cs="Arial"/>
                <w:sz w:val="24"/>
                <w:szCs w:val="24"/>
              </w:rPr>
            </w:pPr>
            <w:r w:rsidRPr="000A67A7">
              <w:rPr>
                <w:rFonts w:ascii="Arial" w:hAnsi="Arial" w:cs="Arial"/>
                <w:sz w:val="24"/>
                <w:szCs w:val="24"/>
              </w:rPr>
              <w:t xml:space="preserve">NHS </w:t>
            </w:r>
          </w:p>
        </w:tc>
        <w:tc>
          <w:tcPr>
            <w:tcW w:w="7320" w:type="dxa"/>
          </w:tcPr>
          <w:p w:rsidRPr="000A67A7" w:rsidR="00A41EED" w:rsidP="00F87104" w:rsidRDefault="00A41EED" w14:paraId="207DDD97" w14:textId="77777777">
            <w:pPr>
              <w:rPr>
                <w:rFonts w:ascii="Arial" w:hAnsi="Arial" w:cs="Arial"/>
                <w:sz w:val="24"/>
                <w:szCs w:val="24"/>
              </w:rPr>
            </w:pPr>
            <w:r w:rsidRPr="000A67A7">
              <w:rPr>
                <w:rFonts w:ascii="Arial" w:hAnsi="Arial" w:cs="Arial"/>
                <w:sz w:val="24"/>
                <w:szCs w:val="24"/>
              </w:rPr>
              <w:t xml:space="preserve">National Health Service </w:t>
            </w:r>
          </w:p>
        </w:tc>
      </w:tr>
      <w:tr w:rsidRPr="000A67A7" w:rsidR="00A41EED" w:rsidTr="00F87104" w14:paraId="4327CE8E" w14:textId="77777777">
        <w:tc>
          <w:tcPr>
            <w:tcW w:w="1696" w:type="dxa"/>
          </w:tcPr>
          <w:p w:rsidRPr="000A67A7" w:rsidR="00A41EED" w:rsidP="00F87104" w:rsidRDefault="00A41EED" w14:paraId="06F55C78" w14:textId="77777777">
            <w:pPr>
              <w:rPr>
                <w:rFonts w:ascii="Arial" w:hAnsi="Arial" w:cs="Arial"/>
                <w:sz w:val="24"/>
                <w:szCs w:val="24"/>
              </w:rPr>
            </w:pPr>
            <w:r w:rsidRPr="000A67A7">
              <w:rPr>
                <w:rFonts w:ascii="Arial" w:hAnsi="Arial" w:cs="Arial"/>
                <w:sz w:val="24"/>
                <w:szCs w:val="24"/>
              </w:rPr>
              <w:t>NHSE</w:t>
            </w:r>
          </w:p>
        </w:tc>
        <w:tc>
          <w:tcPr>
            <w:tcW w:w="7320" w:type="dxa"/>
          </w:tcPr>
          <w:p w:rsidRPr="000A67A7" w:rsidR="00A41EED" w:rsidP="00F87104" w:rsidRDefault="00A41EED" w14:paraId="0DE91DC5" w14:textId="77777777">
            <w:pPr>
              <w:rPr>
                <w:rFonts w:ascii="Arial" w:hAnsi="Arial" w:cs="Arial"/>
                <w:sz w:val="24"/>
                <w:szCs w:val="24"/>
              </w:rPr>
            </w:pPr>
            <w:r w:rsidRPr="000A67A7">
              <w:rPr>
                <w:rFonts w:ascii="Arial" w:hAnsi="Arial" w:cs="Arial"/>
                <w:sz w:val="24"/>
                <w:szCs w:val="24"/>
              </w:rPr>
              <w:t>National Health Service England</w:t>
            </w:r>
          </w:p>
        </w:tc>
      </w:tr>
      <w:tr w:rsidRPr="000A67A7" w:rsidR="00A41EED" w:rsidTr="00F87104" w14:paraId="669E451D" w14:textId="77777777">
        <w:tc>
          <w:tcPr>
            <w:tcW w:w="1696" w:type="dxa"/>
          </w:tcPr>
          <w:p w:rsidRPr="000A67A7" w:rsidR="00A41EED" w:rsidP="00F87104" w:rsidRDefault="00A41EED" w14:paraId="14A8A54E" w14:textId="77777777">
            <w:pPr>
              <w:rPr>
                <w:rFonts w:ascii="Arial" w:hAnsi="Arial" w:cs="Arial"/>
                <w:sz w:val="24"/>
                <w:szCs w:val="24"/>
              </w:rPr>
            </w:pPr>
            <w:r w:rsidRPr="000A67A7">
              <w:rPr>
                <w:rFonts w:ascii="Arial" w:hAnsi="Arial" w:cs="Arial"/>
                <w:sz w:val="24"/>
                <w:szCs w:val="24"/>
              </w:rPr>
              <w:t>NICE</w:t>
            </w:r>
          </w:p>
        </w:tc>
        <w:tc>
          <w:tcPr>
            <w:tcW w:w="7320" w:type="dxa"/>
          </w:tcPr>
          <w:p w:rsidRPr="000A67A7" w:rsidR="00A41EED" w:rsidP="00F87104" w:rsidRDefault="00A41EED" w14:paraId="24DA5291" w14:textId="77777777">
            <w:pPr>
              <w:rPr>
                <w:rFonts w:ascii="Arial" w:hAnsi="Arial" w:cs="Arial"/>
                <w:sz w:val="24"/>
                <w:szCs w:val="24"/>
              </w:rPr>
            </w:pPr>
            <w:r w:rsidRPr="000A67A7">
              <w:rPr>
                <w:rFonts w:ascii="Arial" w:hAnsi="Arial" w:cs="Arial"/>
                <w:sz w:val="24"/>
                <w:szCs w:val="24"/>
              </w:rPr>
              <w:t xml:space="preserve">National Institute for Health and Care Excellence </w:t>
            </w:r>
          </w:p>
        </w:tc>
      </w:tr>
      <w:tr w:rsidRPr="000A67A7" w:rsidR="00A41EED" w:rsidTr="00F87104" w14:paraId="49D9FF71" w14:textId="77777777">
        <w:tc>
          <w:tcPr>
            <w:tcW w:w="1696" w:type="dxa"/>
          </w:tcPr>
          <w:p w:rsidRPr="000A67A7" w:rsidR="00A41EED" w:rsidP="00F87104" w:rsidRDefault="00A41EED" w14:paraId="60CE4B77" w14:textId="77777777">
            <w:pPr>
              <w:rPr>
                <w:rFonts w:ascii="Arial" w:hAnsi="Arial" w:cs="Arial"/>
                <w:sz w:val="24"/>
                <w:szCs w:val="24"/>
              </w:rPr>
            </w:pPr>
            <w:r w:rsidRPr="000A67A7">
              <w:rPr>
                <w:rFonts w:ascii="Arial" w:hAnsi="Arial" w:cs="Arial"/>
                <w:sz w:val="24"/>
                <w:szCs w:val="24"/>
              </w:rPr>
              <w:t>PA</w:t>
            </w:r>
          </w:p>
        </w:tc>
        <w:tc>
          <w:tcPr>
            <w:tcW w:w="7320" w:type="dxa"/>
          </w:tcPr>
          <w:p w:rsidRPr="000A67A7" w:rsidR="00A41EED" w:rsidP="00F87104" w:rsidRDefault="00A41EED" w14:paraId="6531FD94" w14:textId="77777777">
            <w:pPr>
              <w:rPr>
                <w:rFonts w:ascii="Arial" w:hAnsi="Arial" w:cs="Arial"/>
                <w:sz w:val="24"/>
                <w:szCs w:val="24"/>
              </w:rPr>
            </w:pPr>
            <w:r w:rsidRPr="000A67A7">
              <w:rPr>
                <w:rFonts w:ascii="Arial" w:hAnsi="Arial" w:cs="Arial"/>
                <w:sz w:val="24"/>
                <w:szCs w:val="24"/>
              </w:rPr>
              <w:t>Prior Approval</w:t>
            </w:r>
          </w:p>
        </w:tc>
      </w:tr>
      <w:tr w:rsidRPr="000A67A7" w:rsidR="00A41EED" w:rsidTr="00F87104" w14:paraId="2C2F0EC7" w14:textId="77777777">
        <w:tc>
          <w:tcPr>
            <w:tcW w:w="1696" w:type="dxa"/>
          </w:tcPr>
          <w:p w:rsidRPr="000A67A7" w:rsidR="00A41EED" w:rsidP="00F87104" w:rsidRDefault="00A41EED" w14:paraId="4B296260" w14:textId="77777777">
            <w:pPr>
              <w:rPr>
                <w:rFonts w:ascii="Arial" w:hAnsi="Arial" w:cs="Arial"/>
                <w:sz w:val="24"/>
                <w:szCs w:val="24"/>
              </w:rPr>
            </w:pPr>
            <w:r w:rsidRPr="000A67A7">
              <w:rPr>
                <w:rFonts w:ascii="Arial" w:hAnsi="Arial" w:cs="Arial"/>
                <w:sz w:val="24"/>
                <w:szCs w:val="24"/>
              </w:rPr>
              <w:t>PALS</w:t>
            </w:r>
          </w:p>
        </w:tc>
        <w:tc>
          <w:tcPr>
            <w:tcW w:w="7320" w:type="dxa"/>
          </w:tcPr>
          <w:p w:rsidRPr="000A67A7" w:rsidR="00A41EED" w:rsidP="00F87104" w:rsidRDefault="00A41EED" w14:paraId="0DAFCBEE" w14:textId="77777777">
            <w:pPr>
              <w:rPr>
                <w:rFonts w:ascii="Arial" w:hAnsi="Arial" w:cs="Arial"/>
                <w:sz w:val="24"/>
                <w:szCs w:val="24"/>
              </w:rPr>
            </w:pPr>
            <w:r w:rsidRPr="000A67A7">
              <w:rPr>
                <w:rFonts w:ascii="Arial" w:hAnsi="Arial" w:cs="Arial"/>
                <w:sz w:val="24"/>
                <w:szCs w:val="24"/>
              </w:rPr>
              <w:t>Patient Advise and Liaison Service</w:t>
            </w:r>
          </w:p>
        </w:tc>
      </w:tr>
      <w:tr w:rsidRPr="000A67A7" w:rsidR="00A41EED" w:rsidTr="00F87104" w14:paraId="128BF849" w14:textId="77777777">
        <w:tc>
          <w:tcPr>
            <w:tcW w:w="1696" w:type="dxa"/>
          </w:tcPr>
          <w:p w:rsidRPr="000A67A7" w:rsidR="00A41EED" w:rsidP="00F87104" w:rsidRDefault="00A41EED" w14:paraId="02054E9E" w14:textId="77777777">
            <w:pPr>
              <w:rPr>
                <w:rFonts w:ascii="Arial" w:hAnsi="Arial" w:cs="Arial"/>
                <w:sz w:val="24"/>
                <w:szCs w:val="24"/>
              </w:rPr>
            </w:pPr>
            <w:r w:rsidRPr="000A67A7">
              <w:rPr>
                <w:rFonts w:ascii="Arial" w:hAnsi="Arial" w:cs="Arial"/>
                <w:sz w:val="24"/>
                <w:szCs w:val="24"/>
              </w:rPr>
              <w:t>SOP</w:t>
            </w:r>
          </w:p>
        </w:tc>
        <w:tc>
          <w:tcPr>
            <w:tcW w:w="7320" w:type="dxa"/>
          </w:tcPr>
          <w:p w:rsidRPr="000A67A7" w:rsidR="00A41EED" w:rsidP="00F87104" w:rsidRDefault="00A41EED" w14:paraId="20A5C53A" w14:textId="77777777">
            <w:pPr>
              <w:rPr>
                <w:rFonts w:ascii="Arial" w:hAnsi="Arial" w:cs="Arial"/>
                <w:sz w:val="24"/>
                <w:szCs w:val="24"/>
              </w:rPr>
            </w:pPr>
            <w:r w:rsidRPr="000A67A7">
              <w:rPr>
                <w:rFonts w:ascii="Arial" w:hAnsi="Arial" w:cs="Arial"/>
                <w:sz w:val="24"/>
                <w:szCs w:val="24"/>
              </w:rPr>
              <w:t>S</w:t>
            </w:r>
            <w:r>
              <w:rPr>
                <w:rFonts w:ascii="Arial" w:hAnsi="Arial" w:cs="Arial"/>
                <w:sz w:val="24"/>
                <w:szCs w:val="24"/>
              </w:rPr>
              <w:t>tandard</w:t>
            </w:r>
            <w:r w:rsidRPr="000A67A7">
              <w:rPr>
                <w:rFonts w:ascii="Arial" w:hAnsi="Arial" w:cs="Arial"/>
                <w:sz w:val="24"/>
                <w:szCs w:val="24"/>
              </w:rPr>
              <w:t xml:space="preserve"> Operati</w:t>
            </w:r>
            <w:r>
              <w:rPr>
                <w:rFonts w:ascii="Arial" w:hAnsi="Arial" w:cs="Arial"/>
                <w:sz w:val="24"/>
                <w:szCs w:val="24"/>
              </w:rPr>
              <w:t>ng</w:t>
            </w:r>
            <w:r w:rsidRPr="000A67A7">
              <w:rPr>
                <w:rFonts w:ascii="Arial" w:hAnsi="Arial" w:cs="Arial"/>
                <w:sz w:val="24"/>
                <w:szCs w:val="24"/>
              </w:rPr>
              <w:t xml:space="preserve"> Procedures</w:t>
            </w:r>
          </w:p>
        </w:tc>
      </w:tr>
      <w:tr w:rsidRPr="000A67A7" w:rsidR="00A41EED" w:rsidTr="00F87104" w14:paraId="73F4D32B" w14:textId="77777777">
        <w:tc>
          <w:tcPr>
            <w:tcW w:w="1696" w:type="dxa"/>
          </w:tcPr>
          <w:p w:rsidRPr="000A67A7" w:rsidR="00A41EED" w:rsidP="00F87104" w:rsidRDefault="00A41EED" w14:paraId="1EC0CFD1" w14:textId="77777777">
            <w:pPr>
              <w:rPr>
                <w:rFonts w:ascii="Arial" w:hAnsi="Arial" w:cs="Arial"/>
                <w:sz w:val="24"/>
                <w:szCs w:val="24"/>
              </w:rPr>
            </w:pPr>
            <w:r w:rsidRPr="000A67A7">
              <w:rPr>
                <w:rFonts w:ascii="Arial" w:hAnsi="Arial" w:cs="Arial"/>
                <w:sz w:val="24"/>
                <w:szCs w:val="24"/>
              </w:rPr>
              <w:t>TOR</w:t>
            </w:r>
          </w:p>
        </w:tc>
        <w:tc>
          <w:tcPr>
            <w:tcW w:w="7320" w:type="dxa"/>
          </w:tcPr>
          <w:p w:rsidRPr="000A67A7" w:rsidR="00A41EED" w:rsidP="00F87104" w:rsidRDefault="00A41EED" w14:paraId="65F1451A" w14:textId="77777777">
            <w:pPr>
              <w:rPr>
                <w:rFonts w:ascii="Arial" w:hAnsi="Arial" w:cs="Arial"/>
                <w:sz w:val="24"/>
                <w:szCs w:val="24"/>
              </w:rPr>
            </w:pPr>
            <w:r w:rsidRPr="000A67A7">
              <w:rPr>
                <w:rFonts w:ascii="Arial" w:hAnsi="Arial" w:cs="Arial"/>
                <w:sz w:val="24"/>
                <w:szCs w:val="24"/>
              </w:rPr>
              <w:t>Terms of reference</w:t>
            </w:r>
          </w:p>
        </w:tc>
      </w:tr>
    </w:tbl>
    <w:p w:rsidR="00A41EED" w:rsidP="00A41EED" w:rsidRDefault="00A41EED" w14:paraId="6FEDFF7E" w14:textId="77777777">
      <w:pPr>
        <w:pStyle w:val="ListParagraph"/>
        <w:rPr>
          <w:rFonts w:ascii="Arial" w:hAnsi="Arial" w:cs="Arial"/>
        </w:rPr>
      </w:pPr>
    </w:p>
    <w:p w:rsidR="00AF05A8" w:rsidP="008430A8" w:rsidRDefault="00923A5E" w14:paraId="39D6F77B" w14:textId="34A8BBD9">
      <w:pPr>
        <w:pStyle w:val="Heading2"/>
      </w:pPr>
      <w:r>
        <w:t xml:space="preserve">Appendix 2. </w:t>
      </w:r>
      <w:r w:rsidR="00AF05A8">
        <w:t xml:space="preserve">IFR </w:t>
      </w:r>
      <w:r w:rsidR="00A41EED">
        <w:t>P</w:t>
      </w:r>
      <w:r w:rsidR="00AF05A8">
        <w:t xml:space="preserve">anel </w:t>
      </w:r>
      <w:r w:rsidR="00A41EED">
        <w:t xml:space="preserve">Terms of Reference </w:t>
      </w:r>
    </w:p>
    <w:p w:rsidRPr="00A41EED" w:rsidR="00A41EED" w:rsidP="00A41EED" w:rsidRDefault="00A41EED" w14:paraId="686106EC" w14:textId="77777777"/>
    <w:p w:rsidRPr="008430A8" w:rsidR="009869DF" w:rsidP="008430A8" w:rsidRDefault="009869DF" w14:paraId="41A37703" w14:textId="2C8982E3">
      <w:pPr>
        <w:jc w:val="center"/>
        <w:rPr>
          <w:rFonts w:ascii="Arial" w:hAnsi="Arial" w:cs="Arial"/>
          <w:b/>
          <w:bCs/>
        </w:rPr>
      </w:pPr>
      <w:r w:rsidRPr="008430A8">
        <w:rPr>
          <w:rFonts w:ascii="Arial" w:hAnsi="Arial" w:cs="Arial"/>
          <w:b/>
          <w:bCs/>
        </w:rPr>
        <w:t>Individual Funding Request Panel</w:t>
      </w:r>
    </w:p>
    <w:p w:rsidRPr="008430A8" w:rsidR="009869DF" w:rsidP="008430A8" w:rsidRDefault="009869DF" w14:paraId="69EDC237" w14:textId="326EFD71">
      <w:pPr>
        <w:jc w:val="center"/>
        <w:rPr>
          <w:rFonts w:ascii="Arial" w:hAnsi="Arial" w:cs="Arial"/>
          <w:b/>
          <w:bCs/>
        </w:rPr>
      </w:pPr>
      <w:r w:rsidRPr="008430A8">
        <w:rPr>
          <w:rFonts w:ascii="Arial" w:hAnsi="Arial" w:cs="Arial"/>
          <w:b/>
          <w:bCs/>
        </w:rPr>
        <w:t>Terms of Reference</w:t>
      </w:r>
    </w:p>
    <w:p w:rsidRPr="008430A8" w:rsidR="009869DF" w:rsidP="00D87A65" w:rsidRDefault="009869DF" w14:paraId="0A5CBAF5" w14:textId="227D0207">
      <w:pPr>
        <w:pStyle w:val="ListParagraph"/>
        <w:numPr>
          <w:ilvl w:val="0"/>
          <w:numId w:val="24"/>
        </w:numPr>
        <w:rPr>
          <w:rFonts w:ascii="Arial" w:hAnsi="Arial" w:cs="Arial"/>
          <w:color w:val="4F81BD" w:themeColor="accent1"/>
        </w:rPr>
      </w:pPr>
      <w:r w:rsidRPr="008430A8">
        <w:rPr>
          <w:rFonts w:ascii="Arial" w:hAnsi="Arial" w:cs="Arial"/>
          <w:color w:val="4F81BD" w:themeColor="accent1"/>
        </w:rPr>
        <w:t xml:space="preserve">Purpose </w:t>
      </w:r>
    </w:p>
    <w:p w:rsidR="009869DF" w:rsidP="009869DF" w:rsidRDefault="009869DF" w14:paraId="57F09318" w14:textId="5EFB7997">
      <w:pPr>
        <w:rPr>
          <w:rFonts w:ascii="Arial" w:hAnsi="Arial" w:cs="Arial"/>
        </w:rPr>
      </w:pPr>
      <w:r w:rsidRPr="009869DF">
        <w:rPr>
          <w:rFonts w:ascii="Arial" w:hAnsi="Arial" w:cs="Arial"/>
        </w:rPr>
        <w:t xml:space="preserve">The Individual Funding Request (IFR) and Exceptional Cases Panel (hereafter called the IFR panel) is authorised by </w:t>
      </w:r>
      <w:r>
        <w:rPr>
          <w:rFonts w:ascii="Arial" w:hAnsi="Arial" w:cs="Arial"/>
        </w:rPr>
        <w:t>Central East</w:t>
      </w:r>
      <w:r w:rsidRPr="009869DF">
        <w:rPr>
          <w:rFonts w:ascii="Arial" w:hAnsi="Arial" w:cs="Arial"/>
        </w:rPr>
        <w:t xml:space="preserve"> Integrated Care Board (</w:t>
      </w:r>
      <w:r>
        <w:rPr>
          <w:rFonts w:ascii="Arial" w:hAnsi="Arial" w:cs="Arial"/>
        </w:rPr>
        <w:t>C</w:t>
      </w:r>
      <w:r w:rsidRPr="009869DF">
        <w:rPr>
          <w:rFonts w:ascii="Arial" w:hAnsi="Arial" w:cs="Arial"/>
        </w:rPr>
        <w:t xml:space="preserve">E ICB) to take decisions on its behalf relating to the approval or otherwise of </w:t>
      </w:r>
      <w:r>
        <w:rPr>
          <w:rFonts w:ascii="Arial" w:hAnsi="Arial" w:cs="Arial"/>
        </w:rPr>
        <w:t>IFR and Exceptional Case Requests</w:t>
      </w:r>
      <w:r w:rsidRPr="009869DF">
        <w:rPr>
          <w:rFonts w:ascii="Arial" w:hAnsi="Arial" w:cs="Arial"/>
        </w:rPr>
        <w:t xml:space="preserve">. The purpose of the IFR panel is to consider requests </w:t>
      </w:r>
      <w:r>
        <w:rPr>
          <w:rFonts w:ascii="Arial" w:hAnsi="Arial" w:cs="Arial"/>
        </w:rPr>
        <w:t>for drug</w:t>
      </w:r>
      <w:r w:rsidR="00A41EED">
        <w:rPr>
          <w:rFonts w:ascii="Arial" w:hAnsi="Arial" w:cs="Arial"/>
        </w:rPr>
        <w:t>s</w:t>
      </w:r>
      <w:r w:rsidRPr="009869DF">
        <w:rPr>
          <w:rFonts w:ascii="Arial" w:hAnsi="Arial" w:cs="Arial"/>
        </w:rPr>
        <w:t xml:space="preserve"> or treatment</w:t>
      </w:r>
      <w:r w:rsidR="00A41EED">
        <w:rPr>
          <w:rFonts w:ascii="Arial" w:hAnsi="Arial" w:cs="Arial"/>
        </w:rPr>
        <w:t>s</w:t>
      </w:r>
      <w:r w:rsidRPr="009869DF">
        <w:rPr>
          <w:rFonts w:ascii="Arial" w:hAnsi="Arial" w:cs="Arial"/>
        </w:rPr>
        <w:t xml:space="preserve"> </w:t>
      </w:r>
      <w:r>
        <w:rPr>
          <w:rFonts w:ascii="Arial" w:hAnsi="Arial" w:cs="Arial"/>
        </w:rPr>
        <w:t xml:space="preserve">which </w:t>
      </w:r>
      <w:r w:rsidRPr="009869DF">
        <w:rPr>
          <w:rFonts w:ascii="Arial" w:hAnsi="Arial" w:cs="Arial"/>
        </w:rPr>
        <w:t xml:space="preserve">fall outside of existing service agreements, </w:t>
      </w:r>
      <w:r>
        <w:rPr>
          <w:rFonts w:ascii="Arial" w:hAnsi="Arial" w:cs="Arial"/>
        </w:rPr>
        <w:t xml:space="preserve">clinical </w:t>
      </w:r>
      <w:r w:rsidRPr="009869DF">
        <w:rPr>
          <w:rFonts w:ascii="Arial" w:hAnsi="Arial" w:cs="Arial"/>
        </w:rPr>
        <w:t xml:space="preserve">policies, or locally agreed guidelines. The IFR Panel will determine whether a case for clinical exceptionality has been made and is </w:t>
      </w:r>
      <w:proofErr w:type="gramStart"/>
      <w:r w:rsidRPr="009869DF">
        <w:rPr>
          <w:rFonts w:ascii="Arial" w:hAnsi="Arial" w:cs="Arial"/>
        </w:rPr>
        <w:t>a good use</w:t>
      </w:r>
      <w:proofErr w:type="gramEnd"/>
      <w:r w:rsidRPr="009869DF">
        <w:rPr>
          <w:rFonts w:ascii="Arial" w:hAnsi="Arial" w:cs="Arial"/>
        </w:rPr>
        <w:t xml:space="preserve"> of NHS resources, and will decide whether the request should be approved, declined, or redirected in line </w:t>
      </w:r>
      <w:r w:rsidRPr="00F45424">
        <w:rPr>
          <w:rFonts w:ascii="Arial" w:hAnsi="Arial" w:cs="Arial"/>
        </w:rPr>
        <w:t>with Standard Operating Procedures</w:t>
      </w:r>
      <w:r w:rsidRPr="00F45424" w:rsidR="00F45424">
        <w:rPr>
          <w:rFonts w:ascii="Arial" w:hAnsi="Arial" w:cs="Arial"/>
        </w:rPr>
        <w:t>.</w:t>
      </w:r>
      <w:r w:rsidR="00F45424">
        <w:rPr>
          <w:rFonts w:ascii="Arial" w:hAnsi="Arial" w:cs="Arial"/>
        </w:rPr>
        <w:t xml:space="preserve"> </w:t>
      </w:r>
      <w:r w:rsidRPr="009869DF">
        <w:rPr>
          <w:rFonts w:ascii="Arial" w:hAnsi="Arial" w:cs="Arial"/>
        </w:rPr>
        <w:t xml:space="preserve">This will ensure that all requests </w:t>
      </w:r>
      <w:proofErr w:type="gramStart"/>
      <w:r w:rsidRPr="009869DF">
        <w:rPr>
          <w:rFonts w:ascii="Arial" w:hAnsi="Arial" w:cs="Arial"/>
        </w:rPr>
        <w:t>are considered</w:t>
      </w:r>
      <w:proofErr w:type="gramEnd"/>
      <w:r w:rsidRPr="009869DF">
        <w:rPr>
          <w:rFonts w:ascii="Arial" w:hAnsi="Arial" w:cs="Arial"/>
        </w:rPr>
        <w:t xml:space="preserve"> in a fair and transparent way in line with </w:t>
      </w:r>
      <w:r w:rsidR="00A41EED">
        <w:rPr>
          <w:rFonts w:ascii="Arial" w:hAnsi="Arial" w:cs="Arial"/>
        </w:rPr>
        <w:t>Central East</w:t>
      </w:r>
      <w:r w:rsidRPr="009869DF">
        <w:rPr>
          <w:rFonts w:ascii="Arial" w:hAnsi="Arial" w:cs="Arial"/>
        </w:rPr>
        <w:t xml:space="preserve"> ICB’s commissioning principles and outcomes are based on the available clinical evidence presented by the requesting clinicians. </w:t>
      </w:r>
    </w:p>
    <w:p w:rsidR="009869DF" w:rsidP="009869DF" w:rsidRDefault="009869DF" w14:paraId="38B99A5E" w14:textId="77777777">
      <w:pPr>
        <w:rPr>
          <w:rFonts w:ascii="Arial" w:hAnsi="Arial" w:cs="Arial"/>
        </w:rPr>
      </w:pPr>
      <w:r w:rsidRPr="009869DF">
        <w:rPr>
          <w:rFonts w:ascii="Arial" w:hAnsi="Arial" w:cs="Arial"/>
        </w:rPr>
        <w:t>The IFR Panel meeting will usually consider cases in the following scenarios:</w:t>
      </w:r>
    </w:p>
    <w:p w:rsidRPr="008430A8" w:rsidR="00F45424" w:rsidP="00F45424" w:rsidRDefault="00F45424" w14:paraId="689BB9ED" w14:textId="77777777">
      <w:pPr>
        <w:pStyle w:val="ListParagraph"/>
        <w:numPr>
          <w:ilvl w:val="0"/>
          <w:numId w:val="11"/>
        </w:numPr>
        <w:rPr>
          <w:rFonts w:ascii="Arial" w:hAnsi="Arial" w:cs="Arial"/>
        </w:rPr>
      </w:pPr>
      <w:r w:rsidRPr="008430A8">
        <w:rPr>
          <w:rFonts w:ascii="Arial" w:hAnsi="Arial" w:cs="Arial"/>
        </w:rPr>
        <w:t xml:space="preserve">Arguable grounds for exceptionality </w:t>
      </w:r>
      <w:proofErr w:type="gramStart"/>
      <w:r w:rsidRPr="008430A8">
        <w:rPr>
          <w:rFonts w:ascii="Arial" w:hAnsi="Arial" w:cs="Arial"/>
        </w:rPr>
        <w:t>are presented</w:t>
      </w:r>
      <w:proofErr w:type="gramEnd"/>
      <w:r w:rsidRPr="008430A8">
        <w:rPr>
          <w:rFonts w:ascii="Arial" w:hAnsi="Arial" w:cs="Arial"/>
        </w:rPr>
        <w:t xml:space="preserve">. </w:t>
      </w:r>
    </w:p>
    <w:p w:rsidRPr="008430A8" w:rsidR="00F45424" w:rsidP="00F45424" w:rsidRDefault="00F45424" w14:paraId="342E7556" w14:textId="77777777">
      <w:pPr>
        <w:pStyle w:val="ListParagraph"/>
        <w:numPr>
          <w:ilvl w:val="0"/>
          <w:numId w:val="11"/>
        </w:numPr>
        <w:rPr>
          <w:rFonts w:ascii="Arial" w:hAnsi="Arial" w:cs="Arial"/>
        </w:rPr>
      </w:pPr>
      <w:r w:rsidRPr="008430A8">
        <w:rPr>
          <w:rFonts w:ascii="Arial" w:hAnsi="Arial" w:cs="Arial"/>
        </w:rPr>
        <w:t xml:space="preserve">Consideration of requests reviewed by the IFR Screening Group where no decision could </w:t>
      </w:r>
      <w:proofErr w:type="gramStart"/>
      <w:r w:rsidRPr="008430A8">
        <w:rPr>
          <w:rFonts w:ascii="Arial" w:hAnsi="Arial" w:cs="Arial"/>
        </w:rPr>
        <w:t>be made</w:t>
      </w:r>
      <w:proofErr w:type="gramEnd"/>
      <w:r w:rsidRPr="008430A8">
        <w:rPr>
          <w:rFonts w:ascii="Arial" w:hAnsi="Arial" w:cs="Arial"/>
        </w:rPr>
        <w:t xml:space="preserve">, for example there was no consensus or evidence for exceptionality is unclear. </w:t>
      </w:r>
    </w:p>
    <w:p w:rsidRPr="008430A8" w:rsidR="00F45424" w:rsidP="00F45424" w:rsidRDefault="00F45424" w14:paraId="2A8A74B7" w14:textId="77777777">
      <w:pPr>
        <w:pStyle w:val="ListParagraph"/>
        <w:numPr>
          <w:ilvl w:val="0"/>
          <w:numId w:val="11"/>
        </w:numPr>
        <w:rPr>
          <w:rFonts w:ascii="Arial" w:hAnsi="Arial" w:cs="Arial"/>
        </w:rPr>
      </w:pPr>
      <w:r w:rsidRPr="008430A8">
        <w:rPr>
          <w:rFonts w:ascii="Arial" w:hAnsi="Arial" w:cs="Arial"/>
        </w:rPr>
        <w:t xml:space="preserve">Reconsideration requests of cases previously heard and declined by the IFR Panel. </w:t>
      </w:r>
    </w:p>
    <w:p w:rsidRPr="008430A8" w:rsidR="00F45424" w:rsidP="00F45424" w:rsidRDefault="00F45424" w14:paraId="7ADA6D69" w14:textId="77777777">
      <w:pPr>
        <w:pStyle w:val="ListParagraph"/>
        <w:numPr>
          <w:ilvl w:val="0"/>
          <w:numId w:val="11"/>
        </w:numPr>
        <w:rPr>
          <w:rFonts w:ascii="Arial" w:hAnsi="Arial" w:cs="Arial"/>
        </w:rPr>
      </w:pPr>
      <w:r w:rsidRPr="008430A8">
        <w:rPr>
          <w:rFonts w:ascii="Arial" w:hAnsi="Arial" w:cs="Arial"/>
        </w:rPr>
        <w:t xml:space="preserve">A process review of cases previously considered by other external ICB panels in line with their IFR process. </w:t>
      </w:r>
    </w:p>
    <w:p w:rsidRPr="008430A8" w:rsidR="009869DF" w:rsidP="00D87A65" w:rsidRDefault="009869DF" w14:paraId="19703D5A" w14:textId="0ACFD020">
      <w:pPr>
        <w:pStyle w:val="ListParagraph"/>
        <w:numPr>
          <w:ilvl w:val="0"/>
          <w:numId w:val="11"/>
        </w:numPr>
        <w:rPr>
          <w:rFonts w:ascii="Arial" w:hAnsi="Arial" w:cs="Arial"/>
        </w:rPr>
      </w:pPr>
      <w:r w:rsidRPr="008430A8">
        <w:rPr>
          <w:rFonts w:ascii="Arial" w:hAnsi="Arial" w:cs="Arial"/>
        </w:rPr>
        <w:t xml:space="preserve">There is uncertainty about the responsible commissioner or whether the treatment falls within existing policy, which has been unable to </w:t>
      </w:r>
      <w:proofErr w:type="gramStart"/>
      <w:r w:rsidRPr="008430A8">
        <w:rPr>
          <w:rFonts w:ascii="Arial" w:hAnsi="Arial" w:cs="Arial"/>
        </w:rPr>
        <w:t>be resolved</w:t>
      </w:r>
      <w:proofErr w:type="gramEnd"/>
      <w:r w:rsidRPr="008430A8">
        <w:rPr>
          <w:rFonts w:ascii="Arial" w:hAnsi="Arial" w:cs="Arial"/>
        </w:rPr>
        <w:t xml:space="preserve">, and is causing undue delay and risk to a patient. </w:t>
      </w:r>
    </w:p>
    <w:p w:rsidR="008430A8" w:rsidP="009869DF" w:rsidRDefault="009869DF" w14:paraId="345B3F61" w14:textId="302C7AEE">
      <w:pPr>
        <w:rPr>
          <w:rFonts w:ascii="Arial" w:hAnsi="Arial" w:cs="Arial"/>
        </w:rPr>
      </w:pPr>
      <w:r w:rsidRPr="009869DF">
        <w:rPr>
          <w:rFonts w:ascii="Arial" w:hAnsi="Arial" w:cs="Arial"/>
        </w:rPr>
        <w:t xml:space="preserve">The IFR Panel has the delegated authority to make exceptions to the commissioning policies and healthcare contracts of the ICB and commit financial resources within </w:t>
      </w:r>
      <w:r w:rsidRPr="00D01CCD">
        <w:rPr>
          <w:rFonts w:ascii="Arial" w:hAnsi="Arial" w:cs="Arial"/>
        </w:rPr>
        <w:t>the frameworks agreed and operates in accordance with the ICB Standing Financial Instructions</w:t>
      </w:r>
      <w:r w:rsidR="00911E17">
        <w:rPr>
          <w:rFonts w:ascii="Arial" w:hAnsi="Arial" w:cs="Arial"/>
        </w:rPr>
        <w:t xml:space="preserve"> </w:t>
      </w:r>
      <w:r w:rsidRPr="00D01CCD">
        <w:rPr>
          <w:rFonts w:ascii="Arial" w:hAnsi="Arial" w:cs="Arial"/>
        </w:rPr>
        <w:t>/ Standing Orders and the Detailed Scheme of Delegation.</w:t>
      </w:r>
      <w:r w:rsidRPr="009869DF">
        <w:rPr>
          <w:rFonts w:ascii="Arial" w:hAnsi="Arial" w:cs="Arial"/>
        </w:rPr>
        <w:t xml:space="preserve"> </w:t>
      </w:r>
    </w:p>
    <w:p w:rsidR="008430A8" w:rsidP="009869DF" w:rsidRDefault="009869DF" w14:paraId="62045A53" w14:textId="77777777">
      <w:pPr>
        <w:rPr>
          <w:rFonts w:ascii="Arial" w:hAnsi="Arial" w:cs="Arial"/>
        </w:rPr>
      </w:pPr>
      <w:r w:rsidRPr="009869DF">
        <w:rPr>
          <w:rFonts w:ascii="Arial" w:hAnsi="Arial" w:cs="Arial"/>
        </w:rPr>
        <w:t xml:space="preserve">The ICB has a robust process in place to ensure compliance with the </w:t>
      </w:r>
      <w:r w:rsidR="008430A8">
        <w:rPr>
          <w:rFonts w:ascii="Arial" w:hAnsi="Arial" w:cs="Arial"/>
        </w:rPr>
        <w:t>Central East</w:t>
      </w:r>
      <w:r w:rsidRPr="009869DF">
        <w:rPr>
          <w:rFonts w:ascii="Arial" w:hAnsi="Arial" w:cs="Arial"/>
        </w:rPr>
        <w:t xml:space="preserve"> ICB IFR policy, NHS Constitution (2023), Quality Care Commission’s Fundamental Standards (2022</w:t>
      </w:r>
      <w:proofErr w:type="gramStart"/>
      <w:r w:rsidRPr="009869DF">
        <w:rPr>
          <w:rFonts w:ascii="Arial" w:hAnsi="Arial" w:cs="Arial"/>
        </w:rPr>
        <w:t>)</w:t>
      </w:r>
      <w:proofErr w:type="gramEnd"/>
      <w:r w:rsidRPr="009869DF">
        <w:rPr>
          <w:rFonts w:ascii="Arial" w:hAnsi="Arial" w:cs="Arial"/>
        </w:rPr>
        <w:t xml:space="preserve"> and other statutory regulations and in accordance with the ICB commissioning principles. </w:t>
      </w:r>
    </w:p>
    <w:p w:rsidR="008430A8" w:rsidP="009869DF" w:rsidRDefault="009869DF" w14:paraId="3DD2F1EF" w14:textId="77777777">
      <w:pPr>
        <w:rPr>
          <w:rFonts w:ascii="Arial" w:hAnsi="Arial" w:cs="Arial"/>
        </w:rPr>
      </w:pPr>
      <w:r w:rsidRPr="009869DF">
        <w:rPr>
          <w:rFonts w:ascii="Arial" w:hAnsi="Arial" w:cs="Arial"/>
        </w:rPr>
        <w:t xml:space="preserve">The IFR Panel also has a delegated responsibility for ensuring compliance with the core values of the NHS Constitution and contributing evidence towards elements of the Guiding Principles identified in the NHS Constitution Framework (2023). </w:t>
      </w:r>
    </w:p>
    <w:p w:rsidR="00856452" w:rsidP="009869DF" w:rsidRDefault="00856452" w14:paraId="79137438" w14:textId="77777777">
      <w:pPr>
        <w:rPr>
          <w:rFonts w:ascii="Arial" w:hAnsi="Arial" w:cs="Arial"/>
        </w:rPr>
      </w:pPr>
    </w:p>
    <w:p w:rsidR="6B9DE975" w:rsidP="6B9DE975" w:rsidRDefault="6B9DE975" w14:paraId="0CB4B544" w14:textId="798CA764">
      <w:pPr>
        <w:rPr>
          <w:rFonts w:ascii="Arial" w:hAnsi="Arial" w:cs="Arial"/>
        </w:rPr>
      </w:pPr>
    </w:p>
    <w:p w:rsidRPr="008430A8" w:rsidR="008430A8" w:rsidP="00D87A65" w:rsidRDefault="008430A8" w14:paraId="48F5B971" w14:textId="164B1AC1">
      <w:pPr>
        <w:pStyle w:val="ListParagraph"/>
        <w:numPr>
          <w:ilvl w:val="0"/>
          <w:numId w:val="24"/>
        </w:numPr>
        <w:rPr>
          <w:rFonts w:ascii="Arial" w:hAnsi="Arial" w:cs="Arial"/>
          <w:color w:val="4F81BD" w:themeColor="accent1"/>
        </w:rPr>
      </w:pPr>
      <w:r w:rsidRPr="51FE36A4">
        <w:rPr>
          <w:rFonts w:ascii="Arial" w:hAnsi="Arial" w:cs="Arial"/>
          <w:color w:val="4F81BD" w:themeColor="accent1"/>
        </w:rPr>
        <w:t xml:space="preserve">. </w:t>
      </w:r>
      <w:r w:rsidRPr="51FE36A4" w:rsidR="009869DF">
        <w:rPr>
          <w:rFonts w:ascii="Arial" w:hAnsi="Arial" w:cs="Arial"/>
          <w:color w:val="4F81BD" w:themeColor="accent1"/>
        </w:rPr>
        <w:t xml:space="preserve">Membership </w:t>
      </w:r>
    </w:p>
    <w:p w:rsidR="008430A8" w:rsidP="008430A8" w:rsidRDefault="009869DF" w14:paraId="6FF809CA" w14:textId="77777777">
      <w:pPr>
        <w:rPr>
          <w:rFonts w:ascii="Arial" w:hAnsi="Arial" w:cs="Arial"/>
        </w:rPr>
      </w:pPr>
      <w:r w:rsidRPr="008430A8">
        <w:rPr>
          <w:rFonts w:ascii="Arial" w:hAnsi="Arial" w:cs="Arial"/>
        </w:rPr>
        <w:t xml:space="preserve">The core membership of the IFR panel shall include: </w:t>
      </w:r>
    </w:p>
    <w:p w:rsidRPr="008430A8" w:rsidR="008430A8" w:rsidP="00D87A65" w:rsidRDefault="009869DF" w14:paraId="22053647" w14:textId="7B93D98F">
      <w:pPr>
        <w:pStyle w:val="ListParagraph"/>
        <w:numPr>
          <w:ilvl w:val="0"/>
          <w:numId w:val="25"/>
        </w:numPr>
        <w:rPr>
          <w:rFonts w:ascii="Arial" w:hAnsi="Arial" w:cs="Arial"/>
        </w:rPr>
      </w:pPr>
      <w:r w:rsidRPr="008430A8">
        <w:rPr>
          <w:rFonts w:ascii="Arial" w:hAnsi="Arial" w:cs="Arial"/>
        </w:rPr>
        <w:t>Lay member / Patient representative (Chair)</w:t>
      </w:r>
      <w:r w:rsidR="00911E17">
        <w:rPr>
          <w:rFonts w:ascii="Arial" w:hAnsi="Arial" w:cs="Arial"/>
        </w:rPr>
        <w:t>.</w:t>
      </w:r>
      <w:r w:rsidRPr="008430A8">
        <w:rPr>
          <w:rFonts w:ascii="Arial" w:hAnsi="Arial" w:cs="Arial"/>
        </w:rPr>
        <w:t xml:space="preserve"> </w:t>
      </w:r>
    </w:p>
    <w:p w:rsidRPr="008430A8" w:rsidR="008430A8" w:rsidP="00D87A65" w:rsidRDefault="009869DF" w14:paraId="459325A8" w14:textId="1B2DBF18">
      <w:pPr>
        <w:pStyle w:val="ListParagraph"/>
        <w:numPr>
          <w:ilvl w:val="0"/>
          <w:numId w:val="25"/>
        </w:numPr>
        <w:rPr>
          <w:rFonts w:ascii="Arial" w:hAnsi="Arial" w:cs="Arial"/>
        </w:rPr>
      </w:pPr>
      <w:r w:rsidRPr="008430A8">
        <w:rPr>
          <w:rFonts w:ascii="Arial" w:hAnsi="Arial" w:cs="Arial"/>
        </w:rPr>
        <w:t xml:space="preserve">Associate </w:t>
      </w:r>
      <w:r w:rsidRPr="00102790" w:rsidR="00102790">
        <w:rPr>
          <w:rFonts w:ascii="Arial" w:hAnsi="Arial" w:cs="Arial"/>
        </w:rPr>
        <w:t xml:space="preserve">Clinical Director Evidence </w:t>
      </w:r>
      <w:r w:rsidR="00102790">
        <w:rPr>
          <w:rFonts w:ascii="Arial" w:hAnsi="Arial" w:cs="Arial"/>
        </w:rPr>
        <w:t>B</w:t>
      </w:r>
      <w:r w:rsidRPr="00102790" w:rsidR="00102790">
        <w:rPr>
          <w:rFonts w:ascii="Arial" w:hAnsi="Arial" w:cs="Arial"/>
        </w:rPr>
        <w:t>ased Clinical policy</w:t>
      </w:r>
      <w:r w:rsidRPr="008430A8">
        <w:rPr>
          <w:rFonts w:ascii="Arial" w:hAnsi="Arial" w:cs="Arial"/>
        </w:rPr>
        <w:t xml:space="preserve"> (Public Health Consultant/Specialist) or nominated deputy. </w:t>
      </w:r>
    </w:p>
    <w:p w:rsidRPr="008430A8" w:rsidR="008430A8" w:rsidP="00D87A65" w:rsidRDefault="00EC7AC7" w14:paraId="7AD55684" w14:textId="717498F8">
      <w:pPr>
        <w:pStyle w:val="ListParagraph"/>
        <w:numPr>
          <w:ilvl w:val="0"/>
          <w:numId w:val="25"/>
        </w:numPr>
        <w:rPr>
          <w:rFonts w:ascii="Arial" w:hAnsi="Arial" w:cs="Arial"/>
        </w:rPr>
      </w:pPr>
      <w:r w:rsidRPr="00937F81">
        <w:rPr>
          <w:rFonts w:ascii="Arial" w:hAnsi="Arial" w:cs="Arial"/>
        </w:rPr>
        <w:t>Senior Manager</w:t>
      </w:r>
      <w:r w:rsidRPr="51FE36A4" w:rsidR="009869DF">
        <w:rPr>
          <w:rFonts w:ascii="Arial" w:hAnsi="Arial" w:cs="Arial"/>
        </w:rPr>
        <w:t xml:space="preserve"> </w:t>
      </w:r>
      <w:r w:rsidR="00937F81">
        <w:rPr>
          <w:rFonts w:ascii="Arial" w:hAnsi="Arial" w:cs="Arial"/>
        </w:rPr>
        <w:t xml:space="preserve">Clinical Policies and Exceptional Cases </w:t>
      </w:r>
      <w:r w:rsidRPr="51FE36A4" w:rsidR="009869DF">
        <w:rPr>
          <w:rFonts w:ascii="Arial" w:hAnsi="Arial" w:cs="Arial"/>
        </w:rPr>
        <w:t xml:space="preserve">or nominated deputy. </w:t>
      </w:r>
    </w:p>
    <w:p w:rsidRPr="008430A8" w:rsidR="008430A8" w:rsidP="00D87A65" w:rsidRDefault="009869DF" w14:paraId="6FC99CEE" w14:textId="550CD0BF">
      <w:pPr>
        <w:pStyle w:val="ListParagraph"/>
        <w:numPr>
          <w:ilvl w:val="0"/>
          <w:numId w:val="25"/>
        </w:numPr>
        <w:rPr>
          <w:rFonts w:ascii="Arial" w:hAnsi="Arial" w:cs="Arial"/>
        </w:rPr>
      </w:pPr>
      <w:r w:rsidRPr="00635CC0">
        <w:rPr>
          <w:rFonts w:ascii="Arial" w:hAnsi="Arial" w:cs="Arial"/>
        </w:rPr>
        <w:t>Clinical Lead</w:t>
      </w:r>
      <w:r w:rsidRPr="008430A8">
        <w:rPr>
          <w:rFonts w:ascii="Arial" w:hAnsi="Arial" w:cs="Arial"/>
        </w:rPr>
        <w:t xml:space="preserve"> or nominated deputy. </w:t>
      </w:r>
    </w:p>
    <w:p w:rsidRPr="008430A8" w:rsidR="008430A8" w:rsidP="00D87A65" w:rsidRDefault="009869DF" w14:paraId="31C1E08B" w14:textId="67C8CC37">
      <w:pPr>
        <w:pStyle w:val="ListParagraph"/>
        <w:numPr>
          <w:ilvl w:val="0"/>
          <w:numId w:val="25"/>
        </w:numPr>
        <w:rPr>
          <w:rFonts w:ascii="Arial" w:hAnsi="Arial" w:cs="Arial"/>
        </w:rPr>
      </w:pPr>
      <w:r w:rsidRPr="008430A8">
        <w:rPr>
          <w:rFonts w:ascii="Arial" w:hAnsi="Arial" w:cs="Arial"/>
        </w:rPr>
        <w:t>Nursing member of the Quality team</w:t>
      </w:r>
      <w:r w:rsidR="00911E17">
        <w:rPr>
          <w:rFonts w:ascii="Arial" w:hAnsi="Arial" w:cs="Arial"/>
        </w:rPr>
        <w:t>.</w:t>
      </w:r>
    </w:p>
    <w:p w:rsidRPr="008430A8" w:rsidR="008430A8" w:rsidP="00D87A65" w:rsidRDefault="009869DF" w14:paraId="49CB6A87" w14:textId="2FCF466B">
      <w:pPr>
        <w:pStyle w:val="ListParagraph"/>
        <w:numPr>
          <w:ilvl w:val="0"/>
          <w:numId w:val="25"/>
        </w:numPr>
        <w:rPr>
          <w:rFonts w:ascii="Arial" w:hAnsi="Arial" w:cs="Arial"/>
        </w:rPr>
      </w:pPr>
      <w:r w:rsidRPr="008430A8">
        <w:rPr>
          <w:rFonts w:ascii="Arial" w:hAnsi="Arial" w:cs="Arial"/>
        </w:rPr>
        <w:t>ICB Commissioner</w:t>
      </w:r>
      <w:r w:rsidR="00911E17">
        <w:rPr>
          <w:rFonts w:ascii="Arial" w:hAnsi="Arial" w:cs="Arial"/>
        </w:rPr>
        <w:t>.</w:t>
      </w:r>
      <w:r w:rsidRPr="008430A8">
        <w:rPr>
          <w:rFonts w:ascii="Arial" w:hAnsi="Arial" w:cs="Arial"/>
        </w:rPr>
        <w:t xml:space="preserve"> </w:t>
      </w:r>
    </w:p>
    <w:p w:rsidRPr="008430A8" w:rsidR="008430A8" w:rsidP="00D87A65" w:rsidRDefault="009869DF" w14:paraId="113A83C3" w14:textId="1D4F473A">
      <w:pPr>
        <w:pStyle w:val="ListParagraph"/>
        <w:numPr>
          <w:ilvl w:val="0"/>
          <w:numId w:val="25"/>
        </w:numPr>
        <w:rPr>
          <w:rFonts w:ascii="Arial" w:hAnsi="Arial" w:cs="Arial"/>
        </w:rPr>
      </w:pPr>
      <w:r w:rsidRPr="008430A8">
        <w:rPr>
          <w:rFonts w:ascii="Arial" w:hAnsi="Arial" w:cs="Arial"/>
        </w:rPr>
        <w:t>Pharmaceutical Advisor or nominated deputy (for drug cases only)</w:t>
      </w:r>
      <w:r w:rsidR="00911E17">
        <w:rPr>
          <w:rFonts w:ascii="Arial" w:hAnsi="Arial" w:cs="Arial"/>
        </w:rPr>
        <w:t>.</w:t>
      </w:r>
    </w:p>
    <w:p w:rsidR="008430A8" w:rsidP="008430A8" w:rsidRDefault="009869DF" w14:paraId="53032E23" w14:textId="3A30ACC0">
      <w:pPr>
        <w:rPr>
          <w:rFonts w:ascii="Arial" w:hAnsi="Arial" w:cs="Arial"/>
        </w:rPr>
      </w:pPr>
      <w:r w:rsidRPr="008430A8">
        <w:rPr>
          <w:rFonts w:ascii="Arial" w:hAnsi="Arial" w:cs="Arial"/>
        </w:rPr>
        <w:t xml:space="preserve">Other </w:t>
      </w:r>
      <w:r w:rsidR="00256851">
        <w:rPr>
          <w:rFonts w:ascii="Arial" w:hAnsi="Arial" w:cs="Arial"/>
        </w:rPr>
        <w:t>non-voting subject matter experts</w:t>
      </w:r>
      <w:r w:rsidRPr="008430A8">
        <w:rPr>
          <w:rFonts w:ascii="Arial" w:hAnsi="Arial" w:cs="Arial"/>
        </w:rPr>
        <w:t xml:space="preserve"> </w:t>
      </w:r>
      <w:r w:rsidR="00E435FB">
        <w:rPr>
          <w:rFonts w:ascii="Arial" w:hAnsi="Arial" w:cs="Arial"/>
        </w:rPr>
        <w:t xml:space="preserve">may </w:t>
      </w:r>
      <w:proofErr w:type="gramStart"/>
      <w:r w:rsidR="00E435FB">
        <w:rPr>
          <w:rFonts w:ascii="Arial" w:hAnsi="Arial" w:cs="Arial"/>
        </w:rPr>
        <w:t>be co-opted</w:t>
      </w:r>
      <w:proofErr w:type="gramEnd"/>
      <w:r w:rsidR="00E435FB">
        <w:rPr>
          <w:rFonts w:ascii="Arial" w:hAnsi="Arial" w:cs="Arial"/>
        </w:rPr>
        <w:t xml:space="preserve"> in </w:t>
      </w:r>
      <w:r w:rsidRPr="008430A8">
        <w:rPr>
          <w:rFonts w:ascii="Arial" w:hAnsi="Arial" w:cs="Arial"/>
        </w:rPr>
        <w:t xml:space="preserve">where available/required. </w:t>
      </w:r>
    </w:p>
    <w:p w:rsidR="008F0817" w:rsidP="00D87A65" w:rsidRDefault="008F4015" w14:paraId="427BA87F" w14:textId="0D5ECE38">
      <w:pPr>
        <w:pStyle w:val="ListParagraph"/>
        <w:numPr>
          <w:ilvl w:val="0"/>
          <w:numId w:val="26"/>
        </w:numPr>
        <w:rPr>
          <w:rFonts w:ascii="Arial" w:hAnsi="Arial" w:cs="Arial"/>
        </w:rPr>
      </w:pPr>
      <w:r>
        <w:rPr>
          <w:rFonts w:ascii="Arial" w:hAnsi="Arial" w:cs="Arial"/>
        </w:rPr>
        <w:t>Consultant P</w:t>
      </w:r>
      <w:r w:rsidR="009800B4">
        <w:rPr>
          <w:rFonts w:ascii="Arial" w:hAnsi="Arial" w:cs="Arial"/>
        </w:rPr>
        <w:t>sychiatrist (for mental health cases)</w:t>
      </w:r>
      <w:r w:rsidR="00911E17">
        <w:rPr>
          <w:rFonts w:ascii="Arial" w:hAnsi="Arial" w:cs="Arial"/>
        </w:rPr>
        <w:t>.</w:t>
      </w:r>
    </w:p>
    <w:p w:rsidRPr="008430A8" w:rsidR="008430A8" w:rsidP="00D87A65" w:rsidRDefault="009869DF" w14:paraId="2A737B8C" w14:textId="1C7B5514">
      <w:pPr>
        <w:pStyle w:val="ListParagraph"/>
        <w:numPr>
          <w:ilvl w:val="0"/>
          <w:numId w:val="26"/>
        </w:numPr>
        <w:rPr>
          <w:rFonts w:ascii="Arial" w:hAnsi="Arial" w:cs="Arial"/>
        </w:rPr>
      </w:pPr>
      <w:r w:rsidRPr="008430A8">
        <w:rPr>
          <w:rFonts w:ascii="Arial" w:hAnsi="Arial" w:cs="Arial"/>
        </w:rPr>
        <w:t xml:space="preserve">Secondary care representative or nominated deputy (where available). </w:t>
      </w:r>
    </w:p>
    <w:p w:rsidRPr="008430A8" w:rsidR="008430A8" w:rsidP="00D87A65" w:rsidRDefault="009869DF" w14:paraId="780D7704" w14:textId="2F2FDF0E">
      <w:pPr>
        <w:pStyle w:val="ListParagraph"/>
        <w:numPr>
          <w:ilvl w:val="0"/>
          <w:numId w:val="26"/>
        </w:numPr>
        <w:rPr>
          <w:rFonts w:ascii="Arial" w:hAnsi="Arial" w:cs="Arial"/>
        </w:rPr>
      </w:pPr>
      <w:r w:rsidRPr="008430A8">
        <w:rPr>
          <w:rFonts w:ascii="Arial" w:hAnsi="Arial" w:cs="Arial"/>
        </w:rPr>
        <w:t xml:space="preserve">Specific commissioner in an advisory role. </w:t>
      </w:r>
    </w:p>
    <w:p w:rsidRPr="008430A8" w:rsidR="008430A8" w:rsidP="00D87A65" w:rsidRDefault="009869DF" w14:paraId="6CF86848" w14:textId="3858EBBD">
      <w:pPr>
        <w:pStyle w:val="ListParagraph"/>
        <w:numPr>
          <w:ilvl w:val="0"/>
          <w:numId w:val="26"/>
        </w:numPr>
        <w:rPr>
          <w:rFonts w:ascii="Arial" w:hAnsi="Arial" w:cs="Arial"/>
        </w:rPr>
      </w:pPr>
      <w:r w:rsidRPr="008430A8">
        <w:rPr>
          <w:rFonts w:ascii="Arial" w:hAnsi="Arial" w:cs="Arial"/>
        </w:rPr>
        <w:t xml:space="preserve">Finance team representative. </w:t>
      </w:r>
    </w:p>
    <w:p w:rsidR="008430A8" w:rsidP="008430A8" w:rsidRDefault="009869DF" w14:paraId="65DA2807" w14:textId="3FA28C51">
      <w:pPr>
        <w:rPr>
          <w:rFonts w:ascii="Arial" w:hAnsi="Arial" w:cs="Arial"/>
        </w:rPr>
      </w:pPr>
      <w:r w:rsidRPr="6F87A5EE">
        <w:rPr>
          <w:rFonts w:ascii="Arial" w:hAnsi="Arial" w:cs="Arial"/>
        </w:rPr>
        <w:t>In the event of the Chair of the committee being unable to attend all or part of the meeting, a replacement</w:t>
      </w:r>
      <w:r w:rsidR="00560E31">
        <w:rPr>
          <w:rFonts w:ascii="Arial" w:hAnsi="Arial" w:cs="Arial"/>
        </w:rPr>
        <w:t xml:space="preserve"> will </w:t>
      </w:r>
      <w:proofErr w:type="gramStart"/>
      <w:r w:rsidR="00560E31">
        <w:rPr>
          <w:rFonts w:ascii="Arial" w:hAnsi="Arial" w:cs="Arial"/>
        </w:rPr>
        <w:t>be nominated</w:t>
      </w:r>
      <w:proofErr w:type="gramEnd"/>
      <w:r w:rsidRPr="6F87A5EE">
        <w:rPr>
          <w:rFonts w:ascii="Arial" w:hAnsi="Arial" w:cs="Arial"/>
        </w:rPr>
        <w:t xml:space="preserve"> from within the Membership to deputise for that meeting. </w:t>
      </w:r>
      <w:r>
        <w:br/>
      </w:r>
      <w:r w:rsidRPr="6F87A5EE">
        <w:rPr>
          <w:rFonts w:ascii="Arial" w:hAnsi="Arial" w:cs="Arial"/>
        </w:rPr>
        <w:t xml:space="preserve">Public Health trainees can also contribute to the work of the IFR process as part of their training. They can attend IFR Panels as non-voting members. </w:t>
      </w:r>
      <w:r>
        <w:br/>
      </w:r>
      <w:r w:rsidRPr="6F87A5EE">
        <w:rPr>
          <w:rFonts w:ascii="Arial" w:hAnsi="Arial" w:cs="Arial"/>
        </w:rPr>
        <w:t xml:space="preserve">The IFR Panel </w:t>
      </w:r>
      <w:proofErr w:type="gramStart"/>
      <w:r w:rsidRPr="6F87A5EE">
        <w:rPr>
          <w:rFonts w:ascii="Arial" w:hAnsi="Arial" w:cs="Arial"/>
        </w:rPr>
        <w:t>is not obliged</w:t>
      </w:r>
      <w:proofErr w:type="gramEnd"/>
      <w:r w:rsidRPr="6F87A5EE">
        <w:rPr>
          <w:rFonts w:ascii="Arial" w:hAnsi="Arial" w:cs="Arial"/>
        </w:rPr>
        <w:t xml:space="preserve"> to allow patients to attend the Panel meeting. The IFR process is clinician led and all deliberations at the IFR Panel will be based on </w:t>
      </w:r>
      <w:r w:rsidR="00EC2E12">
        <w:rPr>
          <w:rFonts w:ascii="Arial" w:hAnsi="Arial" w:cs="Arial"/>
        </w:rPr>
        <w:t xml:space="preserve">clinical </w:t>
      </w:r>
      <w:r w:rsidRPr="6F87A5EE">
        <w:rPr>
          <w:rFonts w:ascii="Arial" w:hAnsi="Arial" w:cs="Arial"/>
        </w:rPr>
        <w:t>evidence</w:t>
      </w:r>
      <w:r w:rsidR="00EC2E12">
        <w:rPr>
          <w:rFonts w:ascii="Arial" w:hAnsi="Arial" w:cs="Arial"/>
        </w:rPr>
        <w:t>,</w:t>
      </w:r>
      <w:r w:rsidRPr="6F87A5EE">
        <w:rPr>
          <w:rFonts w:ascii="Arial" w:hAnsi="Arial" w:cs="Arial"/>
        </w:rPr>
        <w:t xml:space="preserve"> individual clinical exceptionality, clinical </w:t>
      </w:r>
      <w:proofErr w:type="gramStart"/>
      <w:r w:rsidRPr="6F87A5EE">
        <w:rPr>
          <w:rFonts w:ascii="Arial" w:hAnsi="Arial" w:cs="Arial"/>
        </w:rPr>
        <w:t>effectiveness</w:t>
      </w:r>
      <w:proofErr w:type="gramEnd"/>
      <w:r w:rsidRPr="6F87A5EE">
        <w:rPr>
          <w:rFonts w:ascii="Arial" w:hAnsi="Arial" w:cs="Arial"/>
        </w:rPr>
        <w:t xml:space="preserve"> and use of NHS resources and will not consider issues relating to social or personal circumstances in line with the IFR policy. It is also crucial to minimise the risk of unconscious bias influencing funding decisions. It is, therefore, not appropriate for patients to attend the IFR Panel and the Commissioners are not legally bound to invite them. Patients may submit a supporting statement if they wish to do so. </w:t>
      </w:r>
    </w:p>
    <w:p w:rsidRPr="008430A8" w:rsidR="008430A8" w:rsidP="00D87A65" w:rsidRDefault="009869DF" w14:paraId="28787309" w14:textId="478D3E68">
      <w:pPr>
        <w:pStyle w:val="ListParagraph"/>
        <w:numPr>
          <w:ilvl w:val="0"/>
          <w:numId w:val="24"/>
        </w:numPr>
        <w:rPr>
          <w:rFonts w:ascii="Arial" w:hAnsi="Arial" w:cs="Arial"/>
          <w:color w:val="4F81BD" w:themeColor="accent1"/>
        </w:rPr>
      </w:pPr>
      <w:r w:rsidRPr="008430A8">
        <w:rPr>
          <w:rFonts w:ascii="Arial" w:hAnsi="Arial" w:cs="Arial"/>
          <w:color w:val="4F81BD" w:themeColor="accent1"/>
        </w:rPr>
        <w:t xml:space="preserve">Quorum </w:t>
      </w:r>
    </w:p>
    <w:p w:rsidR="006A295A" w:rsidP="008430A8" w:rsidRDefault="009869DF" w14:paraId="37035A8D" w14:textId="77777777">
      <w:pPr>
        <w:rPr>
          <w:rFonts w:ascii="Arial" w:hAnsi="Arial" w:cs="Arial"/>
        </w:rPr>
      </w:pPr>
      <w:r w:rsidRPr="6F87A5EE">
        <w:rPr>
          <w:rFonts w:ascii="Arial" w:hAnsi="Arial" w:cs="Arial"/>
        </w:rPr>
        <w:t xml:space="preserve">The Panel will be quorate when </w:t>
      </w:r>
      <w:r w:rsidR="006A295A">
        <w:rPr>
          <w:rFonts w:ascii="Arial" w:hAnsi="Arial" w:cs="Arial"/>
        </w:rPr>
        <w:t>the following</w:t>
      </w:r>
      <w:r w:rsidRPr="6F87A5EE">
        <w:rPr>
          <w:rFonts w:ascii="Arial" w:hAnsi="Arial" w:cs="Arial"/>
        </w:rPr>
        <w:t xml:space="preserve"> members are present</w:t>
      </w:r>
      <w:r w:rsidR="006A295A">
        <w:rPr>
          <w:rFonts w:ascii="Arial" w:hAnsi="Arial" w:cs="Arial"/>
        </w:rPr>
        <w:t xml:space="preserve"> as a minimum</w:t>
      </w:r>
      <w:r w:rsidRPr="6F87A5EE">
        <w:rPr>
          <w:rFonts w:ascii="Arial" w:hAnsi="Arial" w:cs="Arial"/>
        </w:rPr>
        <w:t xml:space="preserve">. No formal business shall </w:t>
      </w:r>
      <w:proofErr w:type="gramStart"/>
      <w:r w:rsidRPr="6F87A5EE">
        <w:rPr>
          <w:rFonts w:ascii="Arial" w:hAnsi="Arial" w:cs="Arial"/>
        </w:rPr>
        <w:t>be transacted</w:t>
      </w:r>
      <w:proofErr w:type="gramEnd"/>
      <w:r w:rsidRPr="6F87A5EE">
        <w:rPr>
          <w:rFonts w:ascii="Arial" w:hAnsi="Arial" w:cs="Arial"/>
        </w:rPr>
        <w:t xml:space="preserve"> where a quorum is not reached.</w:t>
      </w:r>
    </w:p>
    <w:p w:rsidRPr="008430A8" w:rsidR="006A295A" w:rsidP="006A295A" w:rsidRDefault="006A295A" w14:paraId="16B5A2CD" w14:textId="35FF87EA">
      <w:pPr>
        <w:pStyle w:val="ListParagraph"/>
        <w:numPr>
          <w:ilvl w:val="0"/>
          <w:numId w:val="25"/>
        </w:numPr>
        <w:rPr>
          <w:rFonts w:ascii="Arial" w:hAnsi="Arial" w:cs="Arial"/>
        </w:rPr>
      </w:pPr>
      <w:r w:rsidRPr="008430A8">
        <w:rPr>
          <w:rFonts w:ascii="Arial" w:hAnsi="Arial" w:cs="Arial"/>
        </w:rPr>
        <w:t>Lay member / Patient representative (Chair)</w:t>
      </w:r>
      <w:r w:rsidR="00911E17">
        <w:rPr>
          <w:rFonts w:ascii="Arial" w:hAnsi="Arial" w:cs="Arial"/>
        </w:rPr>
        <w:t>.</w:t>
      </w:r>
      <w:r w:rsidRPr="008430A8">
        <w:rPr>
          <w:rFonts w:ascii="Arial" w:hAnsi="Arial" w:cs="Arial"/>
        </w:rPr>
        <w:t xml:space="preserve"> </w:t>
      </w:r>
    </w:p>
    <w:p w:rsidRPr="008430A8" w:rsidR="006A295A" w:rsidP="006A295A" w:rsidRDefault="006A295A" w14:paraId="51334234" w14:textId="10CB93DE">
      <w:pPr>
        <w:pStyle w:val="ListParagraph"/>
        <w:numPr>
          <w:ilvl w:val="0"/>
          <w:numId w:val="25"/>
        </w:numPr>
        <w:rPr>
          <w:rFonts w:ascii="Arial" w:hAnsi="Arial" w:cs="Arial"/>
        </w:rPr>
      </w:pPr>
      <w:r w:rsidRPr="008430A8">
        <w:rPr>
          <w:rFonts w:ascii="Arial" w:hAnsi="Arial" w:cs="Arial"/>
        </w:rPr>
        <w:t xml:space="preserve">Associate </w:t>
      </w:r>
      <w:r w:rsidRPr="00102790">
        <w:rPr>
          <w:rFonts w:ascii="Arial" w:hAnsi="Arial" w:cs="Arial"/>
        </w:rPr>
        <w:t xml:space="preserve">Clinical Director Evidence </w:t>
      </w:r>
      <w:r>
        <w:rPr>
          <w:rFonts w:ascii="Arial" w:hAnsi="Arial" w:cs="Arial"/>
        </w:rPr>
        <w:t>B</w:t>
      </w:r>
      <w:r w:rsidRPr="00102790">
        <w:rPr>
          <w:rFonts w:ascii="Arial" w:hAnsi="Arial" w:cs="Arial"/>
        </w:rPr>
        <w:t>ased Clinical policy</w:t>
      </w:r>
      <w:r w:rsidRPr="008430A8">
        <w:rPr>
          <w:rFonts w:ascii="Arial" w:hAnsi="Arial" w:cs="Arial"/>
        </w:rPr>
        <w:t xml:space="preserve"> (Public Health Consultant/Specialist) or </w:t>
      </w:r>
      <w:r>
        <w:rPr>
          <w:rFonts w:ascii="Arial" w:hAnsi="Arial" w:cs="Arial"/>
        </w:rPr>
        <w:t>Cl</w:t>
      </w:r>
      <w:r w:rsidR="00D15700">
        <w:rPr>
          <w:rFonts w:ascii="Arial" w:hAnsi="Arial" w:cs="Arial"/>
        </w:rPr>
        <w:t xml:space="preserve">inical Lead or </w:t>
      </w:r>
      <w:r w:rsidRPr="008430A8">
        <w:rPr>
          <w:rFonts w:ascii="Arial" w:hAnsi="Arial" w:cs="Arial"/>
        </w:rPr>
        <w:t xml:space="preserve">nominated deputy. </w:t>
      </w:r>
    </w:p>
    <w:p w:rsidRPr="00D15700" w:rsidR="006A295A" w:rsidP="00FD0034" w:rsidRDefault="006A295A" w14:paraId="367F936B" w14:textId="081B5244">
      <w:pPr>
        <w:pStyle w:val="ListParagraph"/>
        <w:numPr>
          <w:ilvl w:val="0"/>
          <w:numId w:val="25"/>
        </w:numPr>
        <w:rPr>
          <w:rFonts w:ascii="Arial" w:hAnsi="Arial" w:cs="Arial"/>
        </w:rPr>
      </w:pPr>
      <w:r w:rsidRPr="00D15700">
        <w:rPr>
          <w:rFonts w:ascii="Arial" w:hAnsi="Arial" w:cs="Arial"/>
        </w:rPr>
        <w:t>Senior Manager Clinical Policies and Exceptional Cases or</w:t>
      </w:r>
      <w:r w:rsidRPr="00D15700" w:rsidR="00D15700">
        <w:rPr>
          <w:rFonts w:ascii="Arial" w:hAnsi="Arial" w:cs="Arial"/>
        </w:rPr>
        <w:t xml:space="preserve"> a</w:t>
      </w:r>
      <w:r w:rsidRPr="00D15700">
        <w:rPr>
          <w:rFonts w:ascii="Arial" w:hAnsi="Arial" w:cs="Arial"/>
        </w:rPr>
        <w:t xml:space="preserve"> </w:t>
      </w:r>
      <w:r w:rsidRPr="00D15700" w:rsidR="00D15700">
        <w:rPr>
          <w:rFonts w:ascii="Arial" w:hAnsi="Arial" w:cs="Arial"/>
        </w:rPr>
        <w:t xml:space="preserve">Nursing member of the Quality team </w:t>
      </w:r>
      <w:r w:rsidR="00D15700">
        <w:rPr>
          <w:rFonts w:ascii="Arial" w:hAnsi="Arial" w:cs="Arial"/>
        </w:rPr>
        <w:t xml:space="preserve">or </w:t>
      </w:r>
      <w:r w:rsidRPr="00D15700">
        <w:rPr>
          <w:rFonts w:ascii="Arial" w:hAnsi="Arial" w:cs="Arial"/>
        </w:rPr>
        <w:t xml:space="preserve">nominated deputy. </w:t>
      </w:r>
    </w:p>
    <w:p w:rsidRPr="008430A8" w:rsidR="006A295A" w:rsidP="006A295A" w:rsidRDefault="006A295A" w14:paraId="40CB1EA3" w14:textId="1D034FAA">
      <w:pPr>
        <w:pStyle w:val="ListParagraph"/>
        <w:numPr>
          <w:ilvl w:val="0"/>
          <w:numId w:val="25"/>
        </w:numPr>
        <w:rPr>
          <w:rFonts w:ascii="Arial" w:hAnsi="Arial" w:cs="Arial"/>
        </w:rPr>
      </w:pPr>
      <w:r w:rsidRPr="008430A8">
        <w:rPr>
          <w:rFonts w:ascii="Arial" w:hAnsi="Arial" w:cs="Arial"/>
        </w:rPr>
        <w:t>ICB Commissioner</w:t>
      </w:r>
      <w:r w:rsidR="00911E17">
        <w:rPr>
          <w:rFonts w:ascii="Arial" w:hAnsi="Arial" w:cs="Arial"/>
        </w:rPr>
        <w:t>.</w:t>
      </w:r>
      <w:r w:rsidRPr="008430A8">
        <w:rPr>
          <w:rFonts w:ascii="Arial" w:hAnsi="Arial" w:cs="Arial"/>
        </w:rPr>
        <w:t xml:space="preserve"> </w:t>
      </w:r>
    </w:p>
    <w:p w:rsidRPr="008430A8" w:rsidR="006A295A" w:rsidP="006A295A" w:rsidRDefault="006A295A" w14:paraId="4B6319A6" w14:textId="056C4F78">
      <w:pPr>
        <w:pStyle w:val="ListParagraph"/>
        <w:numPr>
          <w:ilvl w:val="0"/>
          <w:numId w:val="25"/>
        </w:numPr>
        <w:rPr>
          <w:rFonts w:ascii="Arial" w:hAnsi="Arial" w:cs="Arial"/>
        </w:rPr>
      </w:pPr>
      <w:r w:rsidRPr="008430A8">
        <w:rPr>
          <w:rFonts w:ascii="Arial" w:hAnsi="Arial" w:cs="Arial"/>
        </w:rPr>
        <w:t>Pharmaceutical Advisor or nominated deputy (for drug cases only)</w:t>
      </w:r>
      <w:r w:rsidR="00911E17">
        <w:rPr>
          <w:rFonts w:ascii="Arial" w:hAnsi="Arial" w:cs="Arial"/>
        </w:rPr>
        <w:t>.</w:t>
      </w:r>
    </w:p>
    <w:p w:rsidR="00D87A65" w:rsidP="008430A8" w:rsidRDefault="009869DF" w14:paraId="6645F6C6" w14:textId="5965F20A">
      <w:pPr>
        <w:rPr>
          <w:rFonts w:ascii="Arial" w:hAnsi="Arial" w:cs="Arial"/>
        </w:rPr>
      </w:pPr>
      <w:r w:rsidRPr="6B9DE975" w:rsidR="6C69A6CE">
        <w:rPr>
          <w:rFonts w:ascii="Arial" w:hAnsi="Arial" w:cs="Arial"/>
        </w:rPr>
        <w:t xml:space="preserve"> </w:t>
      </w:r>
    </w:p>
    <w:p w:rsidR="6B9DE975" w:rsidP="6B9DE975" w:rsidRDefault="6B9DE975" w14:paraId="05F3E2B9" w14:textId="77567DB6">
      <w:pPr>
        <w:rPr>
          <w:rFonts w:ascii="Arial" w:hAnsi="Arial" w:cs="Arial"/>
        </w:rPr>
      </w:pPr>
    </w:p>
    <w:p w:rsidRPr="00D87A65" w:rsidR="00D87A65" w:rsidP="00D87A65" w:rsidRDefault="009869DF" w14:paraId="4AE90012" w14:textId="67B47E84">
      <w:pPr>
        <w:pStyle w:val="ListParagraph"/>
        <w:numPr>
          <w:ilvl w:val="0"/>
          <w:numId w:val="24"/>
        </w:numPr>
        <w:rPr>
          <w:rFonts w:ascii="Arial" w:hAnsi="Arial" w:cs="Arial"/>
          <w:color w:val="4F81BD" w:themeColor="accent1"/>
        </w:rPr>
      </w:pPr>
      <w:r w:rsidRPr="00D87A65">
        <w:rPr>
          <w:rFonts w:ascii="Arial" w:hAnsi="Arial" w:cs="Arial"/>
          <w:color w:val="4F81BD" w:themeColor="accent1"/>
        </w:rPr>
        <w:t xml:space="preserve">Frequency of meetings and attendance. </w:t>
      </w:r>
    </w:p>
    <w:p w:rsidR="00F95687" w:rsidP="00D87A65" w:rsidRDefault="009869DF" w14:paraId="128C71CB" w14:textId="77777777">
      <w:pPr>
        <w:rPr>
          <w:rFonts w:ascii="Arial" w:hAnsi="Arial" w:cs="Arial"/>
        </w:rPr>
      </w:pPr>
      <w:r w:rsidRPr="6F87A5EE">
        <w:rPr>
          <w:rFonts w:ascii="Arial" w:hAnsi="Arial" w:cs="Arial"/>
        </w:rPr>
        <w:t xml:space="preserve">The IFR Panel </w:t>
      </w:r>
      <w:proofErr w:type="gramStart"/>
      <w:r w:rsidRPr="6F87A5EE">
        <w:rPr>
          <w:rFonts w:ascii="Arial" w:hAnsi="Arial" w:cs="Arial"/>
        </w:rPr>
        <w:t>is held</w:t>
      </w:r>
      <w:proofErr w:type="gramEnd"/>
      <w:r w:rsidRPr="6F87A5EE">
        <w:rPr>
          <w:rFonts w:ascii="Arial" w:hAnsi="Arial" w:cs="Arial"/>
        </w:rPr>
        <w:t xml:space="preserve"> </w:t>
      </w:r>
      <w:r w:rsidRPr="00756A91">
        <w:rPr>
          <w:rFonts w:ascii="Arial" w:hAnsi="Arial" w:cs="Arial"/>
        </w:rPr>
        <w:t>monthly</w:t>
      </w:r>
      <w:r w:rsidR="0001111D">
        <w:rPr>
          <w:rFonts w:ascii="Arial" w:hAnsi="Arial" w:cs="Arial"/>
        </w:rPr>
        <w:t xml:space="preserve">, or more frequently if required, </w:t>
      </w:r>
      <w:r w:rsidRPr="6F87A5EE">
        <w:rPr>
          <w:rFonts w:ascii="Arial" w:hAnsi="Arial" w:cs="Arial"/>
        </w:rPr>
        <w:t xml:space="preserve">dependent on cases being presented. Where there are no cases for discussion the IFR Panel will not </w:t>
      </w:r>
      <w:proofErr w:type="gramStart"/>
      <w:r w:rsidRPr="6F87A5EE">
        <w:rPr>
          <w:rFonts w:ascii="Arial" w:hAnsi="Arial" w:cs="Arial"/>
        </w:rPr>
        <w:t>be required</w:t>
      </w:r>
      <w:proofErr w:type="gramEnd"/>
      <w:r w:rsidRPr="6F87A5EE">
        <w:rPr>
          <w:rFonts w:ascii="Arial" w:hAnsi="Arial" w:cs="Arial"/>
        </w:rPr>
        <w:t xml:space="preserve"> to meet. </w:t>
      </w:r>
      <w:r>
        <w:br/>
      </w:r>
      <w:r w:rsidR="00186183">
        <w:rPr>
          <w:rFonts w:ascii="Arial" w:hAnsi="Arial" w:cs="Arial"/>
        </w:rPr>
        <w:t xml:space="preserve">In </w:t>
      </w:r>
      <w:r w:rsidR="0045026E">
        <w:rPr>
          <w:rFonts w:ascii="Arial" w:hAnsi="Arial" w:cs="Arial"/>
        </w:rPr>
        <w:t>the rare circumstance</w:t>
      </w:r>
      <w:r w:rsidR="0054752E">
        <w:rPr>
          <w:rFonts w:ascii="Arial" w:hAnsi="Arial" w:cs="Arial"/>
        </w:rPr>
        <w:t xml:space="preserve"> </w:t>
      </w:r>
      <w:r w:rsidR="00F15F04">
        <w:rPr>
          <w:rFonts w:ascii="Arial" w:hAnsi="Arial" w:cs="Arial"/>
        </w:rPr>
        <w:t xml:space="preserve">that </w:t>
      </w:r>
      <w:r w:rsidR="0054752E">
        <w:rPr>
          <w:rFonts w:ascii="Arial" w:hAnsi="Arial" w:cs="Arial"/>
        </w:rPr>
        <w:t xml:space="preserve">a </w:t>
      </w:r>
      <w:r w:rsidR="00F95687">
        <w:rPr>
          <w:rFonts w:ascii="Arial" w:hAnsi="Arial" w:cs="Arial"/>
        </w:rPr>
        <w:t xml:space="preserve">funding request </w:t>
      </w:r>
      <w:r w:rsidR="00F15F04">
        <w:rPr>
          <w:rFonts w:ascii="Arial" w:hAnsi="Arial" w:cs="Arial"/>
        </w:rPr>
        <w:t>requires</w:t>
      </w:r>
      <w:r w:rsidR="008E196E">
        <w:rPr>
          <w:rFonts w:ascii="Arial" w:hAnsi="Arial" w:cs="Arial"/>
        </w:rPr>
        <w:t xml:space="preserve"> </w:t>
      </w:r>
      <w:r w:rsidRPr="6F87A5EE">
        <w:rPr>
          <w:rFonts w:ascii="Arial" w:hAnsi="Arial" w:cs="Arial"/>
        </w:rPr>
        <w:t>urgent IFR Panel consideration, the Panel</w:t>
      </w:r>
      <w:r w:rsidR="00F15F04">
        <w:rPr>
          <w:rFonts w:ascii="Arial" w:hAnsi="Arial" w:cs="Arial"/>
        </w:rPr>
        <w:t xml:space="preserve"> may</w:t>
      </w:r>
      <w:r w:rsidRPr="6F87A5EE">
        <w:rPr>
          <w:rFonts w:ascii="Arial" w:hAnsi="Arial" w:cs="Arial"/>
        </w:rPr>
        <w:t xml:space="preserve"> convene an emergency meeting. </w:t>
      </w:r>
    </w:p>
    <w:p w:rsidR="00D87A65" w:rsidP="00D87A65" w:rsidRDefault="009869DF" w14:paraId="660F7B57" w14:textId="1EBB4D2D">
      <w:pPr>
        <w:rPr>
          <w:rFonts w:ascii="Arial" w:hAnsi="Arial" w:cs="Arial"/>
        </w:rPr>
      </w:pPr>
      <w:r w:rsidRPr="6F87A5EE">
        <w:rPr>
          <w:rFonts w:ascii="Arial" w:hAnsi="Arial" w:cs="Arial"/>
        </w:rPr>
        <w:t xml:space="preserve">Attendance will </w:t>
      </w:r>
      <w:proofErr w:type="gramStart"/>
      <w:r w:rsidRPr="6F87A5EE">
        <w:rPr>
          <w:rFonts w:ascii="Arial" w:hAnsi="Arial" w:cs="Arial"/>
        </w:rPr>
        <w:t>be monitored</w:t>
      </w:r>
      <w:proofErr w:type="gramEnd"/>
      <w:r w:rsidRPr="6F87A5EE">
        <w:rPr>
          <w:rFonts w:ascii="Arial" w:hAnsi="Arial" w:cs="Arial"/>
        </w:rPr>
        <w:t xml:space="preserve"> and members of the IFR Panel should make every effort to attend every scheduled Panel meeting or arrange suitable cover. </w:t>
      </w:r>
    </w:p>
    <w:p w:rsidRPr="00D87A65" w:rsidR="00D87A65" w:rsidP="00D87A65" w:rsidRDefault="009869DF" w14:paraId="238C4A4A" w14:textId="580AC9BB">
      <w:pPr>
        <w:pStyle w:val="ListParagraph"/>
        <w:numPr>
          <w:ilvl w:val="0"/>
          <w:numId w:val="24"/>
        </w:numPr>
        <w:rPr>
          <w:rFonts w:ascii="Arial" w:hAnsi="Arial" w:cs="Arial"/>
          <w:color w:val="4F81BD" w:themeColor="accent1"/>
        </w:rPr>
      </w:pPr>
      <w:r w:rsidRPr="00D87A65">
        <w:rPr>
          <w:rFonts w:ascii="Arial" w:hAnsi="Arial" w:cs="Arial"/>
          <w:color w:val="4F81BD" w:themeColor="accent1"/>
        </w:rPr>
        <w:t xml:space="preserve">Authority </w:t>
      </w:r>
    </w:p>
    <w:p w:rsidR="009A6C75" w:rsidP="009A6C75" w:rsidRDefault="009A6C75" w14:paraId="3385B907" w14:textId="77777777">
      <w:pPr>
        <w:rPr>
          <w:rFonts w:ascii="Arial" w:hAnsi="Arial" w:cs="Arial"/>
        </w:rPr>
      </w:pPr>
      <w:r>
        <w:rPr>
          <w:rFonts w:ascii="Arial" w:hAnsi="Arial" w:cs="Arial"/>
        </w:rPr>
        <w:t>T</w:t>
      </w:r>
      <w:r w:rsidRPr="009A6C75">
        <w:rPr>
          <w:rFonts w:ascii="Arial" w:hAnsi="Arial" w:cs="Arial"/>
        </w:rPr>
        <w:t xml:space="preserve">he IFR Panel </w:t>
      </w:r>
      <w:proofErr w:type="gramStart"/>
      <w:r w:rsidRPr="009A6C75">
        <w:rPr>
          <w:rFonts w:ascii="Arial" w:hAnsi="Arial" w:cs="Arial"/>
        </w:rPr>
        <w:t>is granted</w:t>
      </w:r>
      <w:proofErr w:type="gramEnd"/>
      <w:r w:rsidRPr="009A6C75">
        <w:rPr>
          <w:rFonts w:ascii="Arial" w:hAnsi="Arial" w:cs="Arial"/>
        </w:rPr>
        <w:t xml:space="preserve"> delegated authority from the Central East ICB Governing Body to make decisions in accordance with the ICB’s Standing Financial Instructions (SFIs) and Scheme of Reservation and Delegation (SORD). This delegated authority reflects and upholds the financial governance arrangements in place for the Exceptional and Individual Funding Request process.</w:t>
      </w:r>
      <w:r>
        <w:rPr>
          <w:rFonts w:ascii="Arial" w:hAnsi="Arial" w:cs="Arial"/>
        </w:rPr>
        <w:t xml:space="preserve"> </w:t>
      </w:r>
    </w:p>
    <w:p w:rsidR="00D87A65" w:rsidP="00D87A65" w:rsidRDefault="009869DF" w14:paraId="5DB2F847" w14:textId="5FE65D31">
      <w:pPr>
        <w:rPr>
          <w:rFonts w:ascii="Arial" w:hAnsi="Arial" w:cs="Arial"/>
        </w:rPr>
      </w:pPr>
      <w:r w:rsidRPr="00D87A65">
        <w:rPr>
          <w:rFonts w:ascii="Arial" w:hAnsi="Arial" w:cs="Arial"/>
        </w:rPr>
        <w:t xml:space="preserve">The IFR Panel is authorised to make the following conclusions: </w:t>
      </w:r>
    </w:p>
    <w:p w:rsidRPr="00D87A65" w:rsidR="00D87A65" w:rsidP="00D87A65" w:rsidRDefault="009869DF" w14:paraId="2CBDD829" w14:textId="58A9A0E7">
      <w:pPr>
        <w:pStyle w:val="ListParagraph"/>
        <w:numPr>
          <w:ilvl w:val="0"/>
          <w:numId w:val="27"/>
        </w:numPr>
        <w:rPr>
          <w:rFonts w:ascii="Arial" w:hAnsi="Arial" w:cs="Arial"/>
        </w:rPr>
      </w:pPr>
      <w:r w:rsidRPr="00D87A65">
        <w:rPr>
          <w:rFonts w:ascii="Arial" w:hAnsi="Arial" w:cs="Arial"/>
        </w:rPr>
        <w:t xml:space="preserve">Approve the funding request based on exceptionality and in line with the IFR policy. </w:t>
      </w:r>
    </w:p>
    <w:p w:rsidRPr="00D87A65" w:rsidR="00D87A65" w:rsidP="00D87A65" w:rsidRDefault="009869DF" w14:paraId="301C8C14" w14:textId="637954AF">
      <w:pPr>
        <w:pStyle w:val="ListParagraph"/>
        <w:numPr>
          <w:ilvl w:val="0"/>
          <w:numId w:val="27"/>
        </w:numPr>
        <w:rPr>
          <w:rFonts w:ascii="Arial" w:hAnsi="Arial" w:cs="Arial"/>
        </w:rPr>
      </w:pPr>
      <w:r w:rsidRPr="00D87A65">
        <w:rPr>
          <w:rFonts w:ascii="Arial" w:hAnsi="Arial" w:cs="Arial"/>
        </w:rPr>
        <w:t xml:space="preserve">Decline the funding request. </w:t>
      </w:r>
    </w:p>
    <w:p w:rsidRPr="00D87A65" w:rsidR="00D87A65" w:rsidP="00D87A65" w:rsidRDefault="009869DF" w14:paraId="1783E1D8" w14:textId="097DFF31">
      <w:pPr>
        <w:pStyle w:val="ListParagraph"/>
        <w:numPr>
          <w:ilvl w:val="0"/>
          <w:numId w:val="27"/>
        </w:numPr>
        <w:rPr>
          <w:rFonts w:ascii="Arial" w:hAnsi="Arial" w:cs="Arial"/>
        </w:rPr>
      </w:pPr>
      <w:r w:rsidRPr="6F87A5EE">
        <w:rPr>
          <w:rFonts w:ascii="Arial" w:hAnsi="Arial" w:cs="Arial"/>
        </w:rPr>
        <w:t xml:space="preserve">Redirect the request if it should </w:t>
      </w:r>
      <w:proofErr w:type="gramStart"/>
      <w:r w:rsidRPr="6F87A5EE">
        <w:rPr>
          <w:rFonts w:ascii="Arial" w:hAnsi="Arial" w:cs="Arial"/>
        </w:rPr>
        <w:t>be funded</w:t>
      </w:r>
      <w:proofErr w:type="gramEnd"/>
      <w:r w:rsidRPr="6F87A5EE">
        <w:rPr>
          <w:rFonts w:ascii="Arial" w:hAnsi="Arial" w:cs="Arial"/>
        </w:rPr>
        <w:t xml:space="preserve"> via an alternative commissioning route.</w:t>
      </w:r>
    </w:p>
    <w:p w:rsidRPr="00D87A65" w:rsidR="00D87A65" w:rsidP="00D87A65" w:rsidRDefault="009869DF" w14:paraId="623CB7DB" w14:textId="5CB72CB2">
      <w:pPr>
        <w:pStyle w:val="ListParagraph"/>
        <w:numPr>
          <w:ilvl w:val="0"/>
          <w:numId w:val="27"/>
        </w:numPr>
        <w:rPr>
          <w:rFonts w:ascii="Arial" w:hAnsi="Arial" w:cs="Arial"/>
        </w:rPr>
      </w:pPr>
      <w:r w:rsidRPr="00D87A65">
        <w:rPr>
          <w:rFonts w:ascii="Arial" w:hAnsi="Arial" w:cs="Arial"/>
        </w:rPr>
        <w:t xml:space="preserve">Redirect/Decline the request where it is indicative of that a service development should </w:t>
      </w:r>
      <w:proofErr w:type="gramStart"/>
      <w:r w:rsidRPr="00D87A65">
        <w:rPr>
          <w:rFonts w:ascii="Arial" w:hAnsi="Arial" w:cs="Arial"/>
        </w:rPr>
        <w:t>be considered</w:t>
      </w:r>
      <w:proofErr w:type="gramEnd"/>
      <w:r w:rsidRPr="00D87A65">
        <w:rPr>
          <w:rFonts w:ascii="Arial" w:hAnsi="Arial" w:cs="Arial"/>
        </w:rPr>
        <w:t xml:space="preserve"> rather than an Individual Funding Request (i.e., there may be a group of patients who could benefit equally from the treatment). </w:t>
      </w:r>
    </w:p>
    <w:p w:rsidR="00D87A65" w:rsidP="00D87A65" w:rsidRDefault="009869DF" w14:paraId="49730680" w14:textId="11F96804">
      <w:pPr>
        <w:rPr>
          <w:rFonts w:ascii="Arial" w:hAnsi="Arial" w:cs="Arial"/>
        </w:rPr>
      </w:pPr>
      <w:r w:rsidRPr="00D87A65">
        <w:rPr>
          <w:rFonts w:ascii="Arial" w:hAnsi="Arial" w:cs="Arial"/>
        </w:rPr>
        <w:t xml:space="preserve">The IFR Panel should make a definitive decision based on the information presented to it. </w:t>
      </w:r>
      <w:r w:rsidR="00E64A72">
        <w:rPr>
          <w:rFonts w:ascii="Arial" w:hAnsi="Arial" w:cs="Arial"/>
        </w:rPr>
        <w:t xml:space="preserve">Any requests for further information or clarity </w:t>
      </w:r>
      <w:r w:rsidR="00EC7AC7">
        <w:rPr>
          <w:rFonts w:ascii="Arial" w:hAnsi="Arial" w:cs="Arial"/>
        </w:rPr>
        <w:t xml:space="preserve">from the applicant </w:t>
      </w:r>
      <w:r w:rsidR="00E64A72">
        <w:rPr>
          <w:rFonts w:ascii="Arial" w:hAnsi="Arial" w:cs="Arial"/>
        </w:rPr>
        <w:t xml:space="preserve">should have </w:t>
      </w:r>
      <w:proofErr w:type="gramStart"/>
      <w:r w:rsidR="00E64A72">
        <w:rPr>
          <w:rFonts w:ascii="Arial" w:hAnsi="Arial" w:cs="Arial"/>
        </w:rPr>
        <w:t>been made</w:t>
      </w:r>
      <w:proofErr w:type="gramEnd"/>
      <w:r w:rsidR="00E64A72">
        <w:rPr>
          <w:rFonts w:ascii="Arial" w:hAnsi="Arial" w:cs="Arial"/>
        </w:rPr>
        <w:t xml:space="preserve"> during the triage and screening stage</w:t>
      </w:r>
      <w:r w:rsidR="00EC7AC7">
        <w:rPr>
          <w:rFonts w:ascii="Arial" w:hAnsi="Arial" w:cs="Arial"/>
        </w:rPr>
        <w:t xml:space="preserve"> wherever possible</w:t>
      </w:r>
      <w:r w:rsidR="00E64A72">
        <w:rPr>
          <w:rFonts w:ascii="Arial" w:hAnsi="Arial" w:cs="Arial"/>
        </w:rPr>
        <w:t xml:space="preserve">. </w:t>
      </w:r>
    </w:p>
    <w:p w:rsidR="00D87A65" w:rsidP="00D87A65" w:rsidRDefault="009869DF" w14:paraId="3FF8A76F" w14:textId="396BFF60">
      <w:pPr>
        <w:rPr>
          <w:rFonts w:ascii="Arial" w:hAnsi="Arial" w:cs="Arial"/>
        </w:rPr>
      </w:pPr>
      <w:r w:rsidRPr="00D87A65">
        <w:rPr>
          <w:rFonts w:ascii="Arial" w:hAnsi="Arial" w:cs="Arial"/>
        </w:rPr>
        <w:t>If</w:t>
      </w:r>
      <w:r w:rsidR="00E64A72">
        <w:rPr>
          <w:rFonts w:ascii="Arial" w:hAnsi="Arial" w:cs="Arial"/>
        </w:rPr>
        <w:t xml:space="preserve">, after the panel </w:t>
      </w:r>
      <w:r w:rsidR="008076D6">
        <w:rPr>
          <w:rFonts w:ascii="Arial" w:hAnsi="Arial" w:cs="Arial"/>
        </w:rPr>
        <w:t>has</w:t>
      </w:r>
      <w:r w:rsidR="00E64A72">
        <w:rPr>
          <w:rFonts w:ascii="Arial" w:hAnsi="Arial" w:cs="Arial"/>
        </w:rPr>
        <w:t xml:space="preserve"> made a definitive decision,</w:t>
      </w:r>
      <w:r w:rsidRPr="00D87A65">
        <w:rPr>
          <w:rFonts w:ascii="Arial" w:hAnsi="Arial" w:cs="Arial"/>
        </w:rPr>
        <w:t xml:space="preserve"> additional information is subsequently provided by the clinician, the case can be reconsidered</w:t>
      </w:r>
      <w:r w:rsidR="00E64A72">
        <w:rPr>
          <w:rFonts w:ascii="Arial" w:hAnsi="Arial" w:cs="Arial"/>
        </w:rPr>
        <w:t xml:space="preserve"> and will follow the triage and screening process again before being put to the panel</w:t>
      </w:r>
      <w:proofErr w:type="gramStart"/>
      <w:r w:rsidR="00E64A72">
        <w:rPr>
          <w:rFonts w:ascii="Arial" w:hAnsi="Arial" w:cs="Arial"/>
        </w:rPr>
        <w:t xml:space="preserve">. </w:t>
      </w:r>
      <w:r w:rsidRPr="00D87A65">
        <w:rPr>
          <w:rFonts w:ascii="Arial" w:hAnsi="Arial" w:cs="Arial"/>
        </w:rPr>
        <w:t xml:space="preserve"> </w:t>
      </w:r>
      <w:proofErr w:type="gramEnd"/>
    </w:p>
    <w:p w:rsidR="00D87A65" w:rsidP="00D87A65" w:rsidRDefault="00D87A65" w14:paraId="2856A3D1" w14:textId="3B7CE359">
      <w:pPr>
        <w:rPr>
          <w:rFonts w:ascii="Arial" w:hAnsi="Arial" w:cs="Arial"/>
        </w:rPr>
      </w:pPr>
      <w:r w:rsidRPr="6F87A5EE">
        <w:rPr>
          <w:rFonts w:ascii="Arial" w:hAnsi="Arial" w:cs="Arial"/>
        </w:rPr>
        <w:t>Any Panel members who have any conflicts of interest with a particular case will be excluded from the discussion of that case</w:t>
      </w:r>
      <w:r w:rsidR="00EB0A79">
        <w:rPr>
          <w:rFonts w:ascii="Arial" w:hAnsi="Arial" w:cs="Arial"/>
        </w:rPr>
        <w:t xml:space="preserve">, will leave the </w:t>
      </w:r>
      <w:proofErr w:type="gramStart"/>
      <w:r w:rsidR="00EB0A79">
        <w:rPr>
          <w:rFonts w:ascii="Arial" w:hAnsi="Arial" w:cs="Arial"/>
        </w:rPr>
        <w:t>meeting</w:t>
      </w:r>
      <w:proofErr w:type="gramEnd"/>
      <w:r w:rsidR="00EB0A79">
        <w:rPr>
          <w:rFonts w:ascii="Arial" w:hAnsi="Arial" w:cs="Arial"/>
        </w:rPr>
        <w:t xml:space="preserve"> and rejoin for any other case discussions</w:t>
      </w:r>
      <w:r w:rsidRPr="6F87A5EE">
        <w:rPr>
          <w:rFonts w:ascii="Arial" w:hAnsi="Arial" w:cs="Arial"/>
        </w:rPr>
        <w:t>.</w:t>
      </w:r>
    </w:p>
    <w:p w:rsidR="00EC7AC7" w:rsidP="00EC7AC7" w:rsidRDefault="00E64A72" w14:paraId="2222E0CA" w14:textId="1A16CC73">
      <w:pPr>
        <w:rPr>
          <w:rFonts w:ascii="Arial" w:hAnsi="Arial" w:cs="Arial"/>
        </w:rPr>
      </w:pPr>
      <w:r w:rsidRPr="00D87A65">
        <w:rPr>
          <w:rFonts w:ascii="Arial" w:hAnsi="Arial" w:cs="Arial"/>
        </w:rPr>
        <w:t xml:space="preserve">Decisions will usually </w:t>
      </w:r>
      <w:proofErr w:type="gramStart"/>
      <w:r w:rsidRPr="00D87A65">
        <w:rPr>
          <w:rFonts w:ascii="Arial" w:hAnsi="Arial" w:cs="Arial"/>
        </w:rPr>
        <w:t>be made</w:t>
      </w:r>
      <w:proofErr w:type="gramEnd"/>
      <w:r w:rsidRPr="00D87A65">
        <w:rPr>
          <w:rFonts w:ascii="Arial" w:hAnsi="Arial" w:cs="Arial"/>
        </w:rPr>
        <w:t xml:space="preserve"> based on consensus. Should the respective Panel members not </w:t>
      </w:r>
      <w:r w:rsidRPr="00D87A65" w:rsidR="008076D6">
        <w:rPr>
          <w:rFonts w:ascii="Arial" w:hAnsi="Arial" w:cs="Arial"/>
        </w:rPr>
        <w:t>agree to</w:t>
      </w:r>
      <w:r w:rsidRPr="00D87A65">
        <w:rPr>
          <w:rFonts w:ascii="Arial" w:hAnsi="Arial" w:cs="Arial"/>
        </w:rPr>
        <w:t xml:space="preserve"> the response to a request, </w:t>
      </w:r>
      <w:r w:rsidRPr="00EC7AC7">
        <w:rPr>
          <w:rFonts w:ascii="Arial" w:hAnsi="Arial" w:cs="Arial"/>
        </w:rPr>
        <w:t>the IFR Panel chair has the casting vote.</w:t>
      </w:r>
      <w:r w:rsidRPr="00D87A65">
        <w:rPr>
          <w:rFonts w:ascii="Arial" w:hAnsi="Arial" w:cs="Arial"/>
        </w:rPr>
        <w:t xml:space="preserve"> </w:t>
      </w:r>
      <w:r w:rsidR="00EB0A79">
        <w:rPr>
          <w:rFonts w:ascii="Arial" w:hAnsi="Arial" w:cs="Arial"/>
        </w:rPr>
        <w:br/>
      </w:r>
      <w:r>
        <w:rPr>
          <w:rFonts w:ascii="Arial" w:hAnsi="Arial" w:cs="Arial"/>
        </w:rPr>
        <w:br/>
      </w:r>
      <w:r w:rsidRPr="00D87A65" w:rsidR="009869DF">
        <w:rPr>
          <w:rFonts w:ascii="Arial" w:hAnsi="Arial" w:cs="Arial"/>
        </w:rPr>
        <w:t xml:space="preserve">The IFR Panel is not authorised to make case by case decision making for service developments where the patient represents a group of patients who may benefit from the same treatment. </w:t>
      </w:r>
      <w:r w:rsidR="005D7000">
        <w:rPr>
          <w:rFonts w:ascii="Arial" w:hAnsi="Arial" w:cs="Arial"/>
        </w:rPr>
        <w:br/>
      </w:r>
      <w:r w:rsidRPr="00D87A65" w:rsidR="009869DF">
        <w:rPr>
          <w:rFonts w:ascii="Arial" w:hAnsi="Arial" w:cs="Arial"/>
        </w:rPr>
        <w:t xml:space="preserve">The IFR Team, Screening Group and Panel shall routinely screen IFRs to see whether they represent a service development. The key question used to screen out as a service development is ‘are there likely to be other similar patients in </w:t>
      </w:r>
      <w:r>
        <w:rPr>
          <w:rFonts w:ascii="Arial" w:hAnsi="Arial" w:cs="Arial"/>
        </w:rPr>
        <w:t>Central East</w:t>
      </w:r>
      <w:r w:rsidRPr="00D87A65" w:rsidR="009869DF">
        <w:rPr>
          <w:rFonts w:ascii="Arial" w:hAnsi="Arial" w:cs="Arial"/>
        </w:rPr>
        <w:t xml:space="preserve"> ICB?’ </w:t>
      </w:r>
      <w:r w:rsidR="005D7000">
        <w:rPr>
          <w:rFonts w:ascii="Arial" w:hAnsi="Arial" w:cs="Arial"/>
        </w:rPr>
        <w:br/>
      </w:r>
      <w:r w:rsidRPr="00D87A65" w:rsidR="009869DF">
        <w:rPr>
          <w:rFonts w:ascii="Arial" w:hAnsi="Arial" w:cs="Arial"/>
        </w:rPr>
        <w:t xml:space="preserve">If there is evidence that the patient may be representative of other similar patients and forms a defined group, the Panel can </w:t>
      </w:r>
      <w:r>
        <w:rPr>
          <w:rFonts w:ascii="Arial" w:hAnsi="Arial" w:cs="Arial"/>
        </w:rPr>
        <w:t xml:space="preserve">only </w:t>
      </w:r>
      <w:r w:rsidRPr="00D87A65" w:rsidR="009869DF">
        <w:rPr>
          <w:rFonts w:ascii="Arial" w:hAnsi="Arial" w:cs="Arial"/>
        </w:rPr>
        <w:t xml:space="preserve">consider approving funding for individual cases if the patient is clinically </w:t>
      </w:r>
      <w:r w:rsidRPr="00D87A65" w:rsidR="009869DF">
        <w:rPr>
          <w:rFonts w:ascii="Arial" w:hAnsi="Arial" w:cs="Arial"/>
        </w:rPr>
        <w:t xml:space="preserve">exceptional to the patient group in question and the requested intervention has evidence of safety, efficacy, and cost effectiveness/good use of NHS resources (as per IFR policy). Otherwise, for groups of patients who do not meet the IFR policy criteria, the provider will </w:t>
      </w:r>
      <w:proofErr w:type="gramStart"/>
      <w:r w:rsidRPr="00D87A65" w:rsidR="009869DF">
        <w:rPr>
          <w:rFonts w:ascii="Arial" w:hAnsi="Arial" w:cs="Arial"/>
        </w:rPr>
        <w:t>be requested</w:t>
      </w:r>
      <w:proofErr w:type="gramEnd"/>
      <w:r w:rsidRPr="00D87A65" w:rsidR="009869DF">
        <w:rPr>
          <w:rFonts w:ascii="Arial" w:hAnsi="Arial" w:cs="Arial"/>
        </w:rPr>
        <w:t xml:space="preserve"> to consult with their Trust Medical Director and/or Chief Pharmacist to follow normal procedures for introducing new services/treatments via a business case</w:t>
      </w:r>
      <w:r w:rsidR="00EC7AC7">
        <w:rPr>
          <w:rFonts w:ascii="Arial" w:hAnsi="Arial" w:cs="Arial"/>
        </w:rPr>
        <w:t xml:space="preserve"> as per section 4.6 of the IFR policy</w:t>
      </w:r>
      <w:r w:rsidRPr="00D87A65" w:rsidR="009869DF">
        <w:rPr>
          <w:rFonts w:ascii="Arial" w:hAnsi="Arial" w:cs="Arial"/>
        </w:rPr>
        <w:t xml:space="preserve">. </w:t>
      </w:r>
      <w:r w:rsidR="005D7000">
        <w:rPr>
          <w:rFonts w:ascii="Arial" w:hAnsi="Arial" w:cs="Arial"/>
        </w:rPr>
        <w:br/>
      </w:r>
    </w:p>
    <w:p w:rsidRPr="007A5D31" w:rsidR="005D7000" w:rsidP="007A5D31" w:rsidRDefault="009869DF" w14:paraId="41CD001E" w14:textId="5F9150B5">
      <w:pPr>
        <w:pStyle w:val="ListParagraph"/>
        <w:numPr>
          <w:ilvl w:val="0"/>
          <w:numId w:val="24"/>
        </w:numPr>
        <w:rPr>
          <w:rFonts w:ascii="Arial" w:hAnsi="Arial" w:cs="Arial"/>
          <w:color w:val="4F81BD" w:themeColor="accent1"/>
        </w:rPr>
      </w:pPr>
      <w:r w:rsidRPr="007A5D31">
        <w:rPr>
          <w:rFonts w:ascii="Arial" w:hAnsi="Arial" w:cs="Arial"/>
          <w:color w:val="4F81BD" w:themeColor="accent1"/>
        </w:rPr>
        <w:t xml:space="preserve">Roles and responsibilities </w:t>
      </w:r>
    </w:p>
    <w:p w:rsidR="005D7000" w:rsidP="005D7000" w:rsidRDefault="009869DF" w14:paraId="48FC5209" w14:textId="599CEE72">
      <w:pPr>
        <w:rPr>
          <w:rFonts w:ascii="Arial" w:hAnsi="Arial" w:cs="Arial"/>
        </w:rPr>
      </w:pPr>
      <w:r w:rsidRPr="005D7000">
        <w:rPr>
          <w:rFonts w:ascii="Arial" w:hAnsi="Arial" w:cs="Arial"/>
        </w:rPr>
        <w:t xml:space="preserve">It is the responsibility of the </w:t>
      </w:r>
      <w:r w:rsidRPr="0069799B">
        <w:rPr>
          <w:rFonts w:ascii="Arial" w:hAnsi="Arial" w:cs="Arial"/>
        </w:rPr>
        <w:t>IFR Team</w:t>
      </w:r>
      <w:r w:rsidRPr="005D7000">
        <w:rPr>
          <w:rFonts w:ascii="Arial" w:hAnsi="Arial" w:cs="Arial"/>
        </w:rPr>
        <w:t xml:space="preserve"> to manage all requests and correspondence received relating to each case in line with the IFR policy and SOP. IFRs will be allocated an individual case reference number. All documentation received regarding the case will be available to the IFR Panel. </w:t>
      </w:r>
      <w:r w:rsidR="005D7000">
        <w:rPr>
          <w:rFonts w:ascii="Arial" w:hAnsi="Arial" w:cs="Arial"/>
        </w:rPr>
        <w:br/>
      </w:r>
      <w:r w:rsidRPr="00E06E99">
        <w:rPr>
          <w:rFonts w:ascii="Arial" w:hAnsi="Arial" w:cs="Arial"/>
        </w:rPr>
        <w:t>The Lay member/Patient Representative will chair the meeting</w:t>
      </w:r>
      <w:r w:rsidRPr="005D7000">
        <w:rPr>
          <w:rFonts w:ascii="Arial" w:hAnsi="Arial" w:cs="Arial"/>
        </w:rPr>
        <w:t xml:space="preserve">. </w:t>
      </w:r>
      <w:r w:rsidR="005D7000">
        <w:rPr>
          <w:rFonts w:ascii="Arial" w:hAnsi="Arial" w:cs="Arial"/>
        </w:rPr>
        <w:br/>
      </w:r>
      <w:r w:rsidRPr="005D7000">
        <w:rPr>
          <w:rFonts w:ascii="Arial" w:hAnsi="Arial" w:cs="Arial"/>
        </w:rPr>
        <w:t xml:space="preserve">The Public Health Consultant/Associate Medical Director, GP Clinical Lead or Senior Pharmaceutical Advisor will be allocated cases to present at the meeting. The case presentation will include the clinical background to the case, including review of the evidence provided by the submitting clinician. </w:t>
      </w:r>
    </w:p>
    <w:p w:rsidR="005D7000" w:rsidP="005D7000" w:rsidRDefault="009869DF" w14:paraId="50BF5DD7" w14:textId="77777777">
      <w:pPr>
        <w:rPr>
          <w:rFonts w:ascii="Arial" w:hAnsi="Arial" w:cs="Arial"/>
        </w:rPr>
      </w:pPr>
      <w:r w:rsidRPr="005D7000">
        <w:rPr>
          <w:rFonts w:ascii="Arial" w:hAnsi="Arial" w:cs="Arial"/>
        </w:rPr>
        <w:t xml:space="preserve">In considering the funding requests, the IFR Panel will aim to: </w:t>
      </w:r>
    </w:p>
    <w:p w:rsidRPr="005D7000" w:rsidR="005D7000" w:rsidP="005D7000" w:rsidRDefault="009869DF" w14:paraId="3F0764AB" w14:textId="0F0AC78C">
      <w:pPr>
        <w:pStyle w:val="ListParagraph"/>
        <w:numPr>
          <w:ilvl w:val="0"/>
          <w:numId w:val="29"/>
        </w:numPr>
        <w:spacing w:after="0"/>
        <w:rPr>
          <w:rFonts w:ascii="Arial" w:hAnsi="Arial" w:cs="Arial"/>
        </w:rPr>
      </w:pPr>
      <w:r w:rsidRPr="005D7000">
        <w:rPr>
          <w:rFonts w:ascii="Arial" w:hAnsi="Arial" w:cs="Arial"/>
        </w:rPr>
        <w:t>Promote consistency, fairness, and equity.</w:t>
      </w:r>
    </w:p>
    <w:p w:rsidRPr="005D7000" w:rsidR="005D7000" w:rsidP="005D7000" w:rsidRDefault="009869DF" w14:paraId="3BAC2913" w14:textId="59EDFDF8">
      <w:pPr>
        <w:pStyle w:val="ListParagraph"/>
        <w:numPr>
          <w:ilvl w:val="0"/>
          <w:numId w:val="29"/>
        </w:numPr>
        <w:spacing w:after="0"/>
        <w:rPr>
          <w:rFonts w:ascii="Arial" w:hAnsi="Arial" w:cs="Arial"/>
        </w:rPr>
      </w:pPr>
      <w:r w:rsidRPr="005D7000">
        <w:rPr>
          <w:rFonts w:ascii="Arial" w:hAnsi="Arial" w:cs="Arial"/>
        </w:rPr>
        <w:t xml:space="preserve">Ensure effective use of resources. </w:t>
      </w:r>
    </w:p>
    <w:p w:rsidRPr="005D7000" w:rsidR="005D7000" w:rsidP="005D7000" w:rsidRDefault="009869DF" w14:paraId="4ED9EFC8" w14:textId="7806FD52">
      <w:pPr>
        <w:pStyle w:val="ListParagraph"/>
        <w:numPr>
          <w:ilvl w:val="0"/>
          <w:numId w:val="29"/>
        </w:numPr>
        <w:spacing w:after="0"/>
        <w:rPr>
          <w:rFonts w:ascii="Arial" w:hAnsi="Arial" w:cs="Arial"/>
        </w:rPr>
      </w:pPr>
      <w:r w:rsidRPr="005D7000">
        <w:rPr>
          <w:rFonts w:ascii="Arial" w:hAnsi="Arial" w:cs="Arial"/>
        </w:rPr>
        <w:t xml:space="preserve">Ensure that the decisions are based on clinical evidence. </w:t>
      </w:r>
    </w:p>
    <w:p w:rsidRPr="005D7000" w:rsidR="005D7000" w:rsidP="005D7000" w:rsidRDefault="009869DF" w14:paraId="7686327E" w14:textId="3334A5C8">
      <w:pPr>
        <w:pStyle w:val="ListParagraph"/>
        <w:numPr>
          <w:ilvl w:val="0"/>
          <w:numId w:val="29"/>
        </w:numPr>
        <w:spacing w:after="0"/>
        <w:rPr>
          <w:rFonts w:ascii="Arial" w:hAnsi="Arial" w:cs="Arial"/>
        </w:rPr>
      </w:pPr>
      <w:r w:rsidRPr="005D7000">
        <w:rPr>
          <w:rFonts w:ascii="Arial" w:hAnsi="Arial" w:cs="Arial"/>
        </w:rPr>
        <w:t xml:space="preserve">Maintain the rigour of the processes ensuring decisions are rational, reasonable, and transparent. </w:t>
      </w:r>
    </w:p>
    <w:p w:rsidRPr="005D7000" w:rsidR="005D7000" w:rsidP="005D7000" w:rsidRDefault="009869DF" w14:paraId="20439547" w14:textId="4068014C">
      <w:pPr>
        <w:pStyle w:val="ListParagraph"/>
        <w:numPr>
          <w:ilvl w:val="0"/>
          <w:numId w:val="29"/>
        </w:numPr>
        <w:spacing w:after="0"/>
        <w:rPr>
          <w:rFonts w:ascii="Arial" w:hAnsi="Arial" w:cs="Arial"/>
        </w:rPr>
      </w:pPr>
      <w:r w:rsidRPr="005D7000">
        <w:rPr>
          <w:rFonts w:ascii="Arial" w:hAnsi="Arial" w:cs="Arial"/>
        </w:rPr>
        <w:t xml:space="preserve">Explore the grounds for relevant clinical exceptionality presented and apply the IFR policy. </w:t>
      </w:r>
    </w:p>
    <w:p w:rsidRPr="005D7000" w:rsidR="005D7000" w:rsidP="005D7000" w:rsidRDefault="009869DF" w14:paraId="51BFFBE1" w14:textId="3CC63254">
      <w:pPr>
        <w:pStyle w:val="ListParagraph"/>
        <w:numPr>
          <w:ilvl w:val="0"/>
          <w:numId w:val="29"/>
        </w:numPr>
        <w:spacing w:after="0"/>
        <w:rPr>
          <w:rFonts w:ascii="Arial" w:hAnsi="Arial" w:cs="Arial"/>
        </w:rPr>
      </w:pPr>
      <w:r w:rsidRPr="005D7000">
        <w:rPr>
          <w:rFonts w:ascii="Arial" w:hAnsi="Arial" w:cs="Arial"/>
        </w:rPr>
        <w:t xml:space="preserve">Consider rare cases where no commissioning policy/service exists on an individual basis. </w:t>
      </w:r>
    </w:p>
    <w:p w:rsidR="005D7000" w:rsidP="005D7000" w:rsidRDefault="005D7000" w14:paraId="17C3C6BD" w14:textId="77777777">
      <w:pPr>
        <w:rPr>
          <w:rFonts w:ascii="Arial" w:hAnsi="Arial" w:cs="Arial"/>
        </w:rPr>
      </w:pPr>
    </w:p>
    <w:p w:rsidR="009F6516" w:rsidP="005D7000" w:rsidRDefault="009869DF" w14:paraId="48B01F76" w14:textId="18088C5C">
      <w:pPr>
        <w:rPr>
          <w:rFonts w:ascii="Arial" w:hAnsi="Arial" w:cs="Arial"/>
        </w:rPr>
      </w:pPr>
      <w:r w:rsidRPr="005D7000">
        <w:rPr>
          <w:rFonts w:ascii="Arial" w:hAnsi="Arial" w:cs="Arial"/>
        </w:rPr>
        <w:t xml:space="preserve">The IFR Panel will review any views expressed by the patient or the requesting clinicians concerning the </w:t>
      </w:r>
      <w:proofErr w:type="gramStart"/>
      <w:r w:rsidRPr="005D7000">
        <w:rPr>
          <w:rFonts w:ascii="Arial" w:hAnsi="Arial" w:cs="Arial"/>
        </w:rPr>
        <w:t>likely clinical</w:t>
      </w:r>
      <w:proofErr w:type="gramEnd"/>
      <w:r w:rsidRPr="005D7000">
        <w:rPr>
          <w:rFonts w:ascii="Arial" w:hAnsi="Arial" w:cs="Arial"/>
        </w:rPr>
        <w:t xml:space="preserve"> outcomes for the individual patient of the proposed treatment. </w:t>
      </w:r>
      <w:r w:rsidR="005D7000">
        <w:rPr>
          <w:rFonts w:ascii="Arial" w:hAnsi="Arial" w:cs="Arial"/>
        </w:rPr>
        <w:br/>
      </w:r>
      <w:r w:rsidRPr="005D7000">
        <w:rPr>
          <w:rFonts w:ascii="Arial" w:hAnsi="Arial" w:cs="Arial"/>
        </w:rPr>
        <w:t xml:space="preserve">The IFR Panel can, but </w:t>
      </w:r>
      <w:proofErr w:type="gramStart"/>
      <w:r w:rsidRPr="005D7000">
        <w:rPr>
          <w:rFonts w:ascii="Arial" w:hAnsi="Arial" w:cs="Arial"/>
        </w:rPr>
        <w:t>are not obliged</w:t>
      </w:r>
      <w:proofErr w:type="gramEnd"/>
      <w:r w:rsidR="008A5A3E">
        <w:rPr>
          <w:rFonts w:ascii="Arial" w:hAnsi="Arial" w:cs="Arial"/>
        </w:rPr>
        <w:t xml:space="preserve"> to, </w:t>
      </w:r>
      <w:r w:rsidRPr="005D7000">
        <w:rPr>
          <w:rFonts w:ascii="Arial" w:hAnsi="Arial" w:cs="Arial"/>
        </w:rPr>
        <w:t xml:space="preserve">commission its own reports from any duly qualified or experienced clinician, medical scientist, or other person having relevant skills concerning the case that is being made regarding the clinical effectiveness of the proposed treatment. </w:t>
      </w:r>
      <w:r w:rsidR="005D7000">
        <w:rPr>
          <w:rFonts w:ascii="Arial" w:hAnsi="Arial" w:cs="Arial"/>
        </w:rPr>
        <w:br/>
      </w:r>
      <w:r w:rsidRPr="005D7000">
        <w:rPr>
          <w:rFonts w:ascii="Arial" w:hAnsi="Arial" w:cs="Arial"/>
        </w:rPr>
        <w:t xml:space="preserve">The IFR Panel shall </w:t>
      </w:r>
      <w:proofErr w:type="gramStart"/>
      <w:r w:rsidRPr="005D7000">
        <w:rPr>
          <w:rFonts w:ascii="Arial" w:hAnsi="Arial" w:cs="Arial"/>
        </w:rPr>
        <w:t>be supported</w:t>
      </w:r>
      <w:proofErr w:type="gramEnd"/>
      <w:r w:rsidRPr="005D7000">
        <w:rPr>
          <w:rFonts w:ascii="Arial" w:hAnsi="Arial" w:cs="Arial"/>
        </w:rPr>
        <w:t xml:space="preserve"> administratively by the </w:t>
      </w:r>
      <w:r w:rsidRPr="00897683">
        <w:rPr>
          <w:rFonts w:ascii="Arial" w:hAnsi="Arial" w:cs="Arial"/>
        </w:rPr>
        <w:t>IFR administration team</w:t>
      </w:r>
      <w:r w:rsidRPr="005D7000">
        <w:rPr>
          <w:rFonts w:ascii="Arial" w:hAnsi="Arial" w:cs="Arial"/>
        </w:rPr>
        <w:t xml:space="preserve"> in line with the IFR SOP whose duties in this respect will include: </w:t>
      </w:r>
    </w:p>
    <w:p w:rsidRPr="009F6516" w:rsidR="009F6516" w:rsidP="009F6516" w:rsidRDefault="009869DF" w14:paraId="38F3A0E8" w14:textId="51B1A764">
      <w:pPr>
        <w:pStyle w:val="ListParagraph"/>
        <w:numPr>
          <w:ilvl w:val="0"/>
          <w:numId w:val="31"/>
        </w:numPr>
        <w:rPr>
          <w:rFonts w:ascii="Arial" w:hAnsi="Arial" w:cs="Arial"/>
        </w:rPr>
      </w:pPr>
      <w:r w:rsidRPr="009F6516">
        <w:rPr>
          <w:rFonts w:ascii="Arial" w:hAnsi="Arial" w:cs="Arial"/>
        </w:rPr>
        <w:t xml:space="preserve">Facilitating and scheduling the IFR Panel meetings in advance. </w:t>
      </w:r>
    </w:p>
    <w:p w:rsidR="00184304" w:rsidP="009F6516" w:rsidRDefault="009869DF" w14:paraId="011A42D6" w14:textId="2138FF5A">
      <w:pPr>
        <w:pStyle w:val="ListParagraph"/>
        <w:numPr>
          <w:ilvl w:val="0"/>
          <w:numId w:val="31"/>
        </w:numPr>
        <w:rPr>
          <w:rFonts w:ascii="Arial" w:hAnsi="Arial" w:cs="Arial"/>
        </w:rPr>
      </w:pPr>
      <w:r w:rsidRPr="009F6516">
        <w:rPr>
          <w:rFonts w:ascii="Arial" w:hAnsi="Arial" w:cs="Arial"/>
        </w:rPr>
        <w:t xml:space="preserve">Preparing clinical cases and </w:t>
      </w:r>
      <w:r w:rsidRPr="009F6516" w:rsidR="008076D6">
        <w:rPr>
          <w:rFonts w:ascii="Arial" w:hAnsi="Arial" w:cs="Arial"/>
        </w:rPr>
        <w:t>informing</w:t>
      </w:r>
      <w:r w:rsidRPr="009F6516">
        <w:rPr>
          <w:rFonts w:ascii="Arial" w:hAnsi="Arial" w:cs="Arial"/>
        </w:rPr>
        <w:t xml:space="preserve"> Panel members not less than 5 working days before the meeting. </w:t>
      </w:r>
    </w:p>
    <w:p w:rsidRPr="009F6516" w:rsidR="009F6516" w:rsidP="009F6516" w:rsidRDefault="009869DF" w14:paraId="459864BF" w14:textId="156BB856">
      <w:pPr>
        <w:pStyle w:val="ListParagraph"/>
        <w:numPr>
          <w:ilvl w:val="0"/>
          <w:numId w:val="31"/>
        </w:numPr>
        <w:rPr>
          <w:rFonts w:ascii="Arial" w:hAnsi="Arial" w:cs="Arial"/>
        </w:rPr>
      </w:pPr>
      <w:r w:rsidRPr="6F87A5EE">
        <w:rPr>
          <w:rFonts w:ascii="Arial" w:hAnsi="Arial" w:cs="Arial"/>
        </w:rPr>
        <w:t xml:space="preserve">Agreeing the agenda with the </w:t>
      </w:r>
      <w:r w:rsidRPr="00C152FD" w:rsidR="009F6516">
        <w:rPr>
          <w:rFonts w:ascii="Arial" w:hAnsi="Arial" w:cs="Arial"/>
        </w:rPr>
        <w:t>Exceptional Cases Manager</w:t>
      </w:r>
      <w:r w:rsidR="008A5A3E">
        <w:rPr>
          <w:rFonts w:ascii="Arial" w:hAnsi="Arial" w:cs="Arial"/>
        </w:rPr>
        <w:t>/ Senior Manager</w:t>
      </w:r>
      <w:r w:rsidRPr="6F87A5EE">
        <w:rPr>
          <w:rFonts w:ascii="Arial" w:hAnsi="Arial" w:cs="Arial"/>
        </w:rPr>
        <w:t>.</w:t>
      </w:r>
    </w:p>
    <w:p w:rsidRPr="009F6516" w:rsidR="009F6516" w:rsidP="009F6516" w:rsidRDefault="009869DF" w14:paraId="09073C5A" w14:textId="1C0D977B">
      <w:pPr>
        <w:pStyle w:val="ListParagraph"/>
        <w:numPr>
          <w:ilvl w:val="0"/>
          <w:numId w:val="31"/>
        </w:numPr>
        <w:rPr>
          <w:rFonts w:ascii="Arial" w:hAnsi="Arial" w:cs="Arial"/>
        </w:rPr>
      </w:pPr>
      <w:r w:rsidRPr="009F6516">
        <w:rPr>
          <w:rFonts w:ascii="Arial" w:hAnsi="Arial" w:cs="Arial"/>
        </w:rPr>
        <w:t xml:space="preserve">Providing written notice of meetings, and </w:t>
      </w:r>
      <w:r w:rsidR="00184304">
        <w:rPr>
          <w:rFonts w:ascii="Arial" w:hAnsi="Arial" w:cs="Arial"/>
        </w:rPr>
        <w:t>annonymised</w:t>
      </w:r>
      <w:r w:rsidRPr="009F6516">
        <w:rPr>
          <w:rFonts w:ascii="Arial" w:hAnsi="Arial" w:cs="Arial"/>
        </w:rPr>
        <w:t xml:space="preserve"> </w:t>
      </w:r>
      <w:r w:rsidR="00184304">
        <w:rPr>
          <w:rFonts w:ascii="Arial" w:hAnsi="Arial" w:cs="Arial"/>
        </w:rPr>
        <w:t xml:space="preserve">case </w:t>
      </w:r>
      <w:r w:rsidRPr="009F6516">
        <w:rPr>
          <w:rFonts w:ascii="Arial" w:hAnsi="Arial" w:cs="Arial"/>
        </w:rPr>
        <w:t>papers</w:t>
      </w:r>
      <w:r w:rsidR="00184304">
        <w:rPr>
          <w:rFonts w:ascii="Arial" w:hAnsi="Arial" w:cs="Arial"/>
        </w:rPr>
        <w:t xml:space="preserve"> to the panel members</w:t>
      </w:r>
      <w:r w:rsidRPr="009F6516">
        <w:rPr>
          <w:rFonts w:ascii="Arial" w:hAnsi="Arial" w:cs="Arial"/>
        </w:rPr>
        <w:t xml:space="preserve">, not less than 5 working days before the meeting. </w:t>
      </w:r>
    </w:p>
    <w:p w:rsidRPr="009F6516" w:rsidR="009F6516" w:rsidP="009F6516" w:rsidRDefault="009869DF" w14:paraId="0BC1B25B" w14:textId="6D08D856">
      <w:pPr>
        <w:pStyle w:val="ListParagraph"/>
        <w:numPr>
          <w:ilvl w:val="0"/>
          <w:numId w:val="31"/>
        </w:numPr>
        <w:rPr>
          <w:rFonts w:ascii="Arial" w:hAnsi="Arial" w:cs="Arial"/>
        </w:rPr>
      </w:pPr>
      <w:r w:rsidRPr="009F6516">
        <w:rPr>
          <w:rFonts w:ascii="Arial" w:hAnsi="Arial" w:cs="Arial"/>
        </w:rPr>
        <w:t xml:space="preserve">Taking the minutes and keeping a record of matters arising and issues to be reported/actioned. </w:t>
      </w:r>
    </w:p>
    <w:p w:rsidRPr="009F6516" w:rsidR="009F6516" w:rsidP="009F6516" w:rsidRDefault="009869DF" w14:paraId="6406EFAF" w14:textId="2AED7F0D">
      <w:pPr>
        <w:pStyle w:val="ListParagraph"/>
        <w:numPr>
          <w:ilvl w:val="0"/>
          <w:numId w:val="31"/>
        </w:numPr>
        <w:rPr>
          <w:rFonts w:ascii="Arial" w:hAnsi="Arial" w:cs="Arial"/>
        </w:rPr>
      </w:pPr>
      <w:r w:rsidRPr="009F6516">
        <w:rPr>
          <w:rFonts w:ascii="Arial" w:hAnsi="Arial" w:cs="Arial"/>
        </w:rPr>
        <w:t xml:space="preserve">Producing an action tracker and </w:t>
      </w:r>
      <w:r w:rsidRPr="009F6516" w:rsidR="00E24B37">
        <w:rPr>
          <w:rFonts w:ascii="Arial" w:hAnsi="Arial" w:cs="Arial"/>
        </w:rPr>
        <w:t>reporting</w:t>
      </w:r>
      <w:r w:rsidRPr="009F6516">
        <w:rPr>
          <w:rFonts w:ascii="Arial" w:hAnsi="Arial" w:cs="Arial"/>
        </w:rPr>
        <w:t xml:space="preserve"> progress to the Panel. </w:t>
      </w:r>
    </w:p>
    <w:p w:rsidR="009F6516" w:rsidP="009F6516" w:rsidRDefault="009869DF" w14:paraId="64B95FC1" w14:textId="46AB4D86">
      <w:pPr>
        <w:pStyle w:val="ListParagraph"/>
        <w:numPr>
          <w:ilvl w:val="0"/>
          <w:numId w:val="31"/>
        </w:numPr>
        <w:rPr>
          <w:rFonts w:ascii="Arial" w:hAnsi="Arial" w:cs="Arial"/>
        </w:rPr>
      </w:pPr>
      <w:r w:rsidRPr="009F6516">
        <w:rPr>
          <w:rFonts w:ascii="Arial" w:hAnsi="Arial" w:cs="Arial"/>
        </w:rPr>
        <w:t xml:space="preserve">Producing and circulating minutes </w:t>
      </w:r>
      <w:r w:rsidRPr="009F6516" w:rsidR="00E24B37">
        <w:rPr>
          <w:rFonts w:ascii="Arial" w:hAnsi="Arial" w:cs="Arial"/>
        </w:rPr>
        <w:t>for</w:t>
      </w:r>
      <w:r w:rsidRPr="009F6516">
        <w:rPr>
          <w:rFonts w:ascii="Arial" w:hAnsi="Arial" w:cs="Arial"/>
        </w:rPr>
        <w:t xml:space="preserve"> the IFR Panel members within five working days of the meeting.</w:t>
      </w:r>
    </w:p>
    <w:p w:rsidRPr="009F6516" w:rsidR="009F6516" w:rsidP="009F6516" w:rsidRDefault="009869DF" w14:paraId="40B16366" w14:textId="52496520">
      <w:pPr>
        <w:pStyle w:val="ListParagraph"/>
        <w:numPr>
          <w:ilvl w:val="0"/>
          <w:numId w:val="31"/>
        </w:numPr>
        <w:rPr>
          <w:rFonts w:ascii="Arial" w:hAnsi="Arial" w:cs="Arial"/>
        </w:rPr>
      </w:pPr>
      <w:r w:rsidRPr="009F6516">
        <w:rPr>
          <w:rFonts w:ascii="Arial" w:hAnsi="Arial" w:cs="Arial"/>
        </w:rPr>
        <w:t xml:space="preserve">Communicating the outcome letter to the applicant within five working days of the meeting. </w:t>
      </w:r>
    </w:p>
    <w:p w:rsidR="009F6516" w:rsidP="005D7000" w:rsidRDefault="009869DF" w14:paraId="2EDC44B5" w14:textId="58D07BFD">
      <w:pPr>
        <w:rPr>
          <w:rFonts w:ascii="Arial" w:hAnsi="Arial" w:cs="Arial"/>
        </w:rPr>
      </w:pPr>
      <w:r w:rsidRPr="00F907FF">
        <w:rPr>
          <w:rFonts w:ascii="Arial" w:hAnsi="Arial" w:cs="Arial"/>
        </w:rPr>
        <w:t xml:space="preserve">The </w:t>
      </w:r>
      <w:r w:rsidRPr="00F907FF" w:rsidR="009F6516">
        <w:rPr>
          <w:rFonts w:ascii="Arial" w:hAnsi="Arial" w:cs="Arial"/>
        </w:rPr>
        <w:t>Exceptional Cases Manager</w:t>
      </w:r>
      <w:r w:rsidRPr="00F907FF" w:rsidR="00F907FF">
        <w:rPr>
          <w:rFonts w:ascii="Arial" w:hAnsi="Arial" w:cs="Arial"/>
        </w:rPr>
        <w:t xml:space="preserve"> or Senior Manager</w:t>
      </w:r>
      <w:r w:rsidRPr="00F907FF">
        <w:rPr>
          <w:rFonts w:ascii="Arial" w:hAnsi="Arial" w:cs="Arial"/>
        </w:rPr>
        <w:t xml:space="preserve"> is responsible for drafting the outcome letter.</w:t>
      </w:r>
      <w:r w:rsidRPr="005D7000">
        <w:rPr>
          <w:rFonts w:ascii="Arial" w:hAnsi="Arial" w:cs="Arial"/>
        </w:rPr>
        <w:t xml:space="preserve"> </w:t>
      </w:r>
      <w:r w:rsidR="009F6516">
        <w:rPr>
          <w:rFonts w:ascii="Arial" w:hAnsi="Arial" w:cs="Arial"/>
        </w:rPr>
        <w:br/>
      </w:r>
      <w:r w:rsidRPr="005D7000">
        <w:rPr>
          <w:rFonts w:ascii="Arial" w:hAnsi="Arial" w:cs="Arial"/>
        </w:rPr>
        <w:t xml:space="preserve">IFR Panel members are responsible for maintaining the standards of professional practice as set by the ICB’s code of conduct, the appropriate regulatory body and other national good governance </w:t>
      </w:r>
      <w:r w:rsidRPr="005D7000" w:rsidR="00E24B37">
        <w:rPr>
          <w:rFonts w:ascii="Arial" w:hAnsi="Arial" w:cs="Arial"/>
        </w:rPr>
        <w:t>practices</w:t>
      </w:r>
      <w:r w:rsidRPr="005D7000">
        <w:rPr>
          <w:rFonts w:ascii="Arial" w:hAnsi="Arial" w:cs="Arial"/>
        </w:rPr>
        <w:t xml:space="preserve">, for example the Seven Principles of Public Life (Nolan, 1995). </w:t>
      </w:r>
    </w:p>
    <w:p w:rsidR="009F6516" w:rsidP="005D7000" w:rsidRDefault="009869DF" w14:paraId="556DE930" w14:textId="77777777">
      <w:pPr>
        <w:rPr>
          <w:rFonts w:ascii="Arial" w:hAnsi="Arial" w:cs="Arial"/>
        </w:rPr>
      </w:pPr>
      <w:r w:rsidRPr="005D7000">
        <w:rPr>
          <w:rFonts w:ascii="Arial" w:hAnsi="Arial" w:cs="Arial"/>
        </w:rPr>
        <w:t xml:space="preserve">The IFR Panel will protect the confidentiality of personal information in line with the ICB Information Governance procedures. </w:t>
      </w:r>
      <w:r w:rsidR="009F6516">
        <w:rPr>
          <w:rFonts w:ascii="Arial" w:hAnsi="Arial" w:cs="Arial"/>
        </w:rPr>
        <w:br/>
      </w:r>
      <w:r w:rsidRPr="005D7000">
        <w:rPr>
          <w:rFonts w:ascii="Arial" w:hAnsi="Arial" w:cs="Arial"/>
        </w:rPr>
        <w:t>The Panel will comply with the Conflicts of Interest Policy and receive declarations of interest at each meeting with a quarterly register of interest maintained by the IFR Team administrator.</w:t>
      </w:r>
    </w:p>
    <w:p w:rsidRPr="009F6516" w:rsidR="009F6516" w:rsidP="6B9DE975" w:rsidRDefault="009869DF" w14:paraId="7E90F493" w14:textId="1A03BA4B">
      <w:pPr>
        <w:pStyle w:val="ListParagraph"/>
        <w:numPr>
          <w:ilvl w:val="0"/>
          <w:numId w:val="24"/>
        </w:numPr>
        <w:spacing w:line="240" w:lineRule="auto"/>
        <w:rPr>
          <w:rFonts w:ascii="Arial" w:hAnsi="Arial" w:cs="Arial"/>
          <w:color w:val="4F81BD" w:themeColor="accent1"/>
        </w:rPr>
      </w:pPr>
      <w:r w:rsidRPr="6B9DE975" w:rsidR="6C69A6CE">
        <w:rPr>
          <w:rFonts w:ascii="Arial" w:hAnsi="Arial" w:cs="Arial"/>
          <w:color w:val="4F81BD" w:themeColor="accent1" w:themeTint="FF" w:themeShade="FF"/>
        </w:rPr>
        <w:t xml:space="preserve">Reporting arrangements </w:t>
      </w:r>
    </w:p>
    <w:p w:rsidR="009F6516" w:rsidP="6B9DE975" w:rsidRDefault="009869DF" w14:paraId="047EB0EB" w14:textId="3806CC8D">
      <w:pPr>
        <w:spacing w:line="240" w:lineRule="auto"/>
        <w:rPr>
          <w:rFonts w:ascii="Arial" w:hAnsi="Arial" w:cs="Arial"/>
        </w:rPr>
      </w:pPr>
      <w:r w:rsidRPr="6B9DE975" w:rsidR="6C69A6CE">
        <w:rPr>
          <w:rFonts w:ascii="Arial" w:hAnsi="Arial" w:cs="Arial"/>
        </w:rPr>
        <w:t xml:space="preserve">The IFR Panel will report any significant issues and risks arising to the </w:t>
      </w:r>
      <w:r w:rsidRPr="6B9DE975" w:rsidR="1ADF96BD">
        <w:rPr>
          <w:rFonts w:ascii="Arial" w:hAnsi="Arial" w:cs="Arial"/>
        </w:rPr>
        <w:t>Central East ICB Utilisation Management &amp; Quality Improvement Committe</w:t>
      </w:r>
      <w:r w:rsidRPr="6B9DE975" w:rsidR="41F3A802">
        <w:rPr>
          <w:rFonts w:ascii="Arial" w:hAnsi="Arial" w:cs="Arial"/>
        </w:rPr>
        <w:t>e o</w:t>
      </w:r>
      <w:r w:rsidRPr="6B9DE975" w:rsidR="0EA508DB">
        <w:rPr>
          <w:rFonts w:ascii="Arial" w:hAnsi="Arial" w:cs="Arial"/>
        </w:rPr>
        <w:t>r</w:t>
      </w:r>
      <w:r w:rsidRPr="6B9DE975" w:rsidR="0EA508DB">
        <w:rPr>
          <w:rFonts w:ascii="Arial" w:hAnsi="Arial" w:cs="Arial"/>
        </w:rPr>
        <w:t xml:space="preserve"> Resource Utilisation</w:t>
      </w:r>
      <w:r w:rsidRPr="6B9DE975" w:rsidR="41F3A802">
        <w:rPr>
          <w:rFonts w:ascii="Arial" w:hAnsi="Arial" w:cs="Arial"/>
        </w:rPr>
        <w:t xml:space="preserve"> Programme Board</w:t>
      </w:r>
      <w:r w:rsidRPr="6B9DE975" w:rsidR="0EA508DB">
        <w:rPr>
          <w:rFonts w:ascii="Arial" w:hAnsi="Arial" w:cs="Arial"/>
        </w:rPr>
        <w:t xml:space="preserve"> </w:t>
      </w:r>
      <w:r w:rsidRPr="6B9DE975" w:rsidR="6C69A6CE">
        <w:rPr>
          <w:rFonts w:ascii="Arial" w:hAnsi="Arial" w:cs="Arial"/>
        </w:rPr>
        <w:t xml:space="preserve">and any issues relating to clinical policy or guidelines to the </w:t>
      </w:r>
      <w:r w:rsidRPr="6B9DE975" w:rsidR="1ADF96BD">
        <w:rPr>
          <w:rFonts w:ascii="Arial" w:hAnsi="Arial" w:cs="Arial"/>
        </w:rPr>
        <w:t>Central East</w:t>
      </w:r>
      <w:r w:rsidRPr="6B9DE975" w:rsidR="6C69A6CE">
        <w:rPr>
          <w:rFonts w:ascii="Arial" w:hAnsi="Arial" w:cs="Arial"/>
        </w:rPr>
        <w:t xml:space="preserve"> ICB Clinical Policies </w:t>
      </w:r>
      <w:r w:rsidRPr="6B9DE975" w:rsidR="6C69A6CE">
        <w:rPr>
          <w:rFonts w:ascii="Arial" w:hAnsi="Arial" w:cs="Arial"/>
        </w:rPr>
        <w:t>Group</w:t>
      </w:r>
      <w:r w:rsidRPr="6B9DE975" w:rsidR="6C69A6CE">
        <w:rPr>
          <w:rFonts w:ascii="Arial" w:hAnsi="Arial" w:cs="Arial"/>
        </w:rPr>
        <w:t xml:space="preserve"> or</w:t>
      </w:r>
      <w:r w:rsidRPr="6B9DE975" w:rsidR="1ADF96BD">
        <w:rPr>
          <w:rFonts w:ascii="Arial" w:hAnsi="Arial" w:cs="Arial"/>
        </w:rPr>
        <w:t xml:space="preserve"> the</w:t>
      </w:r>
      <w:r w:rsidRPr="6B9DE975" w:rsidR="6C69A6CE">
        <w:rPr>
          <w:rFonts w:ascii="Arial" w:hAnsi="Arial" w:cs="Arial"/>
        </w:rPr>
        <w:t xml:space="preserve"> Area Prescribing Committee. </w:t>
      </w:r>
    </w:p>
    <w:p w:rsidRPr="009F6516" w:rsidR="009F6516" w:rsidP="6B9DE975" w:rsidRDefault="009869DF" w14:paraId="7555440C" w14:textId="63207B8A">
      <w:pPr>
        <w:pStyle w:val="ListParagraph"/>
        <w:numPr>
          <w:ilvl w:val="0"/>
          <w:numId w:val="24"/>
        </w:numPr>
        <w:spacing w:line="240" w:lineRule="auto"/>
        <w:rPr>
          <w:rFonts w:ascii="Arial" w:hAnsi="Arial" w:cs="Arial"/>
          <w:color w:val="4F81BD" w:themeColor="accent1"/>
        </w:rPr>
      </w:pPr>
      <w:r w:rsidRPr="6B9DE975" w:rsidR="6C69A6CE">
        <w:rPr>
          <w:rFonts w:ascii="Arial" w:hAnsi="Arial" w:cs="Arial"/>
          <w:color w:val="4F81BD" w:themeColor="accent1" w:themeTint="FF" w:themeShade="FF"/>
        </w:rPr>
        <w:t xml:space="preserve">Accountability </w:t>
      </w:r>
    </w:p>
    <w:p w:rsidR="009F6516" w:rsidP="6B9DE975" w:rsidRDefault="009869DF" w14:paraId="63FC67F4" w14:textId="77777777">
      <w:pPr>
        <w:spacing w:line="240" w:lineRule="auto"/>
        <w:rPr>
          <w:rFonts w:ascii="Arial" w:hAnsi="Arial" w:cs="Arial"/>
        </w:rPr>
      </w:pPr>
      <w:r w:rsidRPr="6B9DE975" w:rsidR="6C69A6CE">
        <w:rPr>
          <w:rFonts w:ascii="Arial" w:hAnsi="Arial" w:cs="Arial"/>
        </w:rPr>
        <w:t>The IFR Panel is accountable to</w:t>
      </w:r>
      <w:r w:rsidRPr="6B9DE975" w:rsidR="1ADF96BD">
        <w:rPr>
          <w:rFonts w:ascii="Arial" w:hAnsi="Arial" w:cs="Arial"/>
        </w:rPr>
        <w:t xml:space="preserve"> </w:t>
      </w:r>
      <w:r w:rsidRPr="6B9DE975" w:rsidR="1ADF96BD">
        <w:rPr>
          <w:rFonts w:ascii="Arial" w:hAnsi="Arial" w:cs="Arial"/>
        </w:rPr>
        <w:t>Central East ICB Utilisation Management &amp; Quality Improvement Committee</w:t>
      </w:r>
      <w:r w:rsidRPr="6B9DE975" w:rsidR="6C69A6CE">
        <w:rPr>
          <w:rFonts w:ascii="Arial" w:hAnsi="Arial" w:cs="Arial"/>
        </w:rPr>
        <w:t>.</w:t>
      </w:r>
      <w:r w:rsidRPr="6B9DE975" w:rsidR="6C69A6CE">
        <w:rPr>
          <w:rFonts w:ascii="Arial" w:hAnsi="Arial" w:cs="Arial"/>
        </w:rPr>
        <w:t xml:space="preserve"> </w:t>
      </w:r>
    </w:p>
    <w:p w:rsidRPr="009F6516" w:rsidR="009F6516" w:rsidP="6B9DE975" w:rsidRDefault="009F6516" w14:paraId="5F199523" w14:textId="729CAF9A">
      <w:pPr>
        <w:pStyle w:val="ListParagraph"/>
        <w:numPr>
          <w:ilvl w:val="0"/>
          <w:numId w:val="24"/>
        </w:numPr>
        <w:spacing w:line="240" w:lineRule="auto"/>
        <w:rPr>
          <w:rFonts w:ascii="Arial" w:hAnsi="Arial" w:cs="Arial"/>
          <w:color w:val="4F81BD" w:themeColor="accent1"/>
        </w:rPr>
      </w:pPr>
      <w:r w:rsidRPr="6B9DE975" w:rsidR="1ADF96BD">
        <w:rPr>
          <w:rFonts w:ascii="Arial" w:hAnsi="Arial" w:cs="Arial"/>
          <w:color w:val="4F81BD" w:themeColor="accent1" w:themeTint="FF" w:themeShade="FF"/>
        </w:rPr>
        <w:t xml:space="preserve">Training </w:t>
      </w:r>
      <w:r w:rsidRPr="6B9DE975" w:rsidR="6C69A6CE">
        <w:rPr>
          <w:rFonts w:ascii="Arial" w:hAnsi="Arial" w:cs="Arial"/>
          <w:color w:val="4F81BD" w:themeColor="accent1" w:themeTint="FF" w:themeShade="FF"/>
        </w:rPr>
        <w:t xml:space="preserve"> </w:t>
      </w:r>
    </w:p>
    <w:p w:rsidR="009F6516" w:rsidP="6B9DE975" w:rsidRDefault="009869DF" w14:paraId="4F8C9811" w14:textId="77777777">
      <w:pPr>
        <w:spacing w:line="240" w:lineRule="auto"/>
        <w:rPr>
          <w:rFonts w:ascii="Arial" w:hAnsi="Arial" w:cs="Arial"/>
        </w:rPr>
      </w:pPr>
      <w:r w:rsidRPr="6B9DE975" w:rsidR="6C69A6CE">
        <w:rPr>
          <w:rFonts w:ascii="Arial" w:hAnsi="Arial" w:cs="Arial"/>
        </w:rPr>
        <w:t xml:space="preserve">All members of the IFR Panel must undergo mandatory IFR training. This training will </w:t>
      </w:r>
      <w:r w:rsidRPr="6B9DE975" w:rsidR="6C69A6CE">
        <w:rPr>
          <w:rFonts w:ascii="Arial" w:hAnsi="Arial" w:cs="Arial"/>
        </w:rPr>
        <w:t>be refreshed</w:t>
      </w:r>
      <w:r w:rsidRPr="6B9DE975" w:rsidR="6C69A6CE">
        <w:rPr>
          <w:rFonts w:ascii="Arial" w:hAnsi="Arial" w:cs="Arial"/>
        </w:rPr>
        <w:t xml:space="preserve"> at least annually to ensure that all members maintain the appropriate skills and expertise to function effectively. </w:t>
      </w:r>
    </w:p>
    <w:p w:rsidRPr="009F6516" w:rsidR="009F6516" w:rsidP="6B9DE975" w:rsidRDefault="009869DF" w14:paraId="60B2C4A7" w14:textId="452F1C86">
      <w:pPr>
        <w:pStyle w:val="ListParagraph"/>
        <w:numPr>
          <w:ilvl w:val="0"/>
          <w:numId w:val="24"/>
        </w:numPr>
        <w:spacing w:line="240" w:lineRule="auto"/>
        <w:rPr>
          <w:rFonts w:ascii="Arial" w:hAnsi="Arial" w:cs="Arial"/>
          <w:color w:val="4F81BD" w:themeColor="accent1"/>
        </w:rPr>
      </w:pPr>
      <w:r w:rsidRPr="6B9DE975" w:rsidR="6C69A6CE">
        <w:rPr>
          <w:rFonts w:ascii="Arial" w:hAnsi="Arial" w:cs="Arial"/>
          <w:color w:val="4F81BD" w:themeColor="accent1" w:themeTint="FF" w:themeShade="FF"/>
        </w:rPr>
        <w:t xml:space="preserve">Annual review of the IFR panel </w:t>
      </w:r>
    </w:p>
    <w:p w:rsidR="00184304" w:rsidP="6B9DE975" w:rsidRDefault="009869DF" w14:paraId="50943187" w14:textId="77777777">
      <w:pPr>
        <w:spacing w:line="240" w:lineRule="auto"/>
        <w:rPr>
          <w:rFonts w:ascii="Arial" w:hAnsi="Arial" w:cs="Arial"/>
        </w:rPr>
      </w:pPr>
      <w:r w:rsidRPr="6B9DE975" w:rsidR="6C69A6CE">
        <w:rPr>
          <w:rFonts w:ascii="Arial" w:hAnsi="Arial" w:cs="Arial"/>
        </w:rPr>
        <w:t xml:space="preserve">The IFR Panel will undertake a yearly self-assessment to: </w:t>
      </w:r>
    </w:p>
    <w:p w:rsidRPr="00184304" w:rsidR="00184304" w:rsidP="6B9DE975" w:rsidRDefault="009869DF" w14:paraId="193CBD97" w14:textId="20515CF8">
      <w:pPr>
        <w:pStyle w:val="ListParagraph"/>
        <w:numPr>
          <w:ilvl w:val="0"/>
          <w:numId w:val="35"/>
        </w:numPr>
        <w:spacing w:after="0" w:line="240" w:lineRule="auto"/>
        <w:rPr>
          <w:rFonts w:ascii="Arial" w:hAnsi="Arial" w:cs="Arial"/>
        </w:rPr>
      </w:pPr>
      <w:r w:rsidRPr="6B9DE975" w:rsidR="6C69A6CE">
        <w:rPr>
          <w:rFonts w:ascii="Arial" w:hAnsi="Arial" w:cs="Arial"/>
        </w:rPr>
        <w:t>Review that these Terms of Reference have been complied with and whether they remain fit for purpose.</w:t>
      </w:r>
    </w:p>
    <w:p w:rsidRPr="00184304" w:rsidR="00184304" w:rsidP="6B9DE975" w:rsidRDefault="009869DF" w14:paraId="307D483D" w14:textId="27316871">
      <w:pPr>
        <w:pStyle w:val="ListParagraph"/>
        <w:numPr>
          <w:ilvl w:val="0"/>
          <w:numId w:val="35"/>
        </w:numPr>
        <w:spacing w:after="0" w:line="240" w:lineRule="auto"/>
        <w:rPr>
          <w:rFonts w:ascii="Arial" w:hAnsi="Arial" w:cs="Arial"/>
        </w:rPr>
      </w:pPr>
      <w:r w:rsidRPr="6B9DE975" w:rsidR="6C69A6CE">
        <w:rPr>
          <w:rFonts w:ascii="Arial" w:hAnsi="Arial" w:cs="Arial"/>
        </w:rPr>
        <w:t xml:space="preserve">Determine whether the planned activities for the IFR triage process, Screening Group and IFR Panel responsibilities for the previous year have </w:t>
      </w:r>
      <w:r w:rsidRPr="6B9DE975" w:rsidR="6C69A6CE">
        <w:rPr>
          <w:rFonts w:ascii="Arial" w:hAnsi="Arial" w:cs="Arial"/>
        </w:rPr>
        <w:t>been discharged</w:t>
      </w:r>
      <w:r w:rsidRPr="6B9DE975" w:rsidR="6C69A6CE">
        <w:rPr>
          <w:rFonts w:ascii="Arial" w:hAnsi="Arial" w:cs="Arial"/>
        </w:rPr>
        <w:t xml:space="preserve"> sufficiently and are in line with the IFR Policy and SOP and relevant terms of reference. </w:t>
      </w:r>
    </w:p>
    <w:p w:rsidRPr="00184304" w:rsidR="00184304" w:rsidP="6B9DE975" w:rsidRDefault="009869DF" w14:paraId="7B2D233C" w14:textId="12D1A063">
      <w:pPr>
        <w:pStyle w:val="ListParagraph"/>
        <w:numPr>
          <w:ilvl w:val="0"/>
          <w:numId w:val="35"/>
        </w:numPr>
        <w:spacing w:after="0" w:line="240" w:lineRule="auto"/>
        <w:rPr>
          <w:rFonts w:ascii="Arial" w:hAnsi="Arial" w:cs="Arial"/>
        </w:rPr>
      </w:pPr>
      <w:r w:rsidRPr="6B9DE975" w:rsidR="6C69A6CE">
        <w:rPr>
          <w:rFonts w:ascii="Arial" w:hAnsi="Arial" w:cs="Arial"/>
        </w:rPr>
        <w:t xml:space="preserve">Recommend any changes and / or actions it considers necessary, in respect of the above. </w:t>
      </w:r>
    </w:p>
    <w:p w:rsidR="00856452" w:rsidP="6B9DE975" w:rsidRDefault="00856452" w14:paraId="15DA74E5" w14:textId="28EAD572">
      <w:pPr>
        <w:pStyle w:val="ListParagraph"/>
        <w:numPr>
          <w:ilvl w:val="0"/>
          <w:numId w:val="35"/>
        </w:numPr>
        <w:spacing w:after="0" w:line="240" w:lineRule="auto"/>
        <w:ind/>
        <w:rPr>
          <w:rFonts w:ascii="Arial" w:hAnsi="Arial" w:cs="Arial"/>
        </w:rPr>
      </w:pPr>
      <w:r w:rsidRPr="6B9DE975" w:rsidR="6C69A6CE">
        <w:rPr>
          <w:rFonts w:ascii="Arial" w:hAnsi="Arial" w:cs="Arial"/>
        </w:rPr>
        <w:t xml:space="preserve">Provide </w:t>
      </w:r>
      <w:r w:rsidRPr="6B9DE975" w:rsidR="4C81A755">
        <w:rPr>
          <w:rFonts w:ascii="Arial" w:hAnsi="Arial" w:cs="Arial"/>
        </w:rPr>
        <w:t xml:space="preserve">the </w:t>
      </w:r>
      <w:r w:rsidRPr="6B9DE975" w:rsidR="4C81A755">
        <w:rPr>
          <w:rFonts w:ascii="Arial" w:hAnsi="Arial" w:cs="Arial"/>
        </w:rPr>
        <w:t>Central East ICB Utilisation Management &amp; Quality Improvement Committee</w:t>
      </w:r>
      <w:r w:rsidRPr="6B9DE975" w:rsidR="4C81A755">
        <w:rPr>
          <w:rFonts w:ascii="Arial" w:hAnsi="Arial" w:cs="Arial"/>
        </w:rPr>
        <w:t xml:space="preserve"> </w:t>
      </w:r>
      <w:r w:rsidRPr="6B9DE975" w:rsidR="6C69A6CE">
        <w:rPr>
          <w:rFonts w:ascii="Arial" w:hAnsi="Arial" w:cs="Arial"/>
        </w:rPr>
        <w:t xml:space="preserve">with a report as </w:t>
      </w:r>
      <w:r w:rsidRPr="6B9DE975" w:rsidR="6C69A6CE">
        <w:rPr>
          <w:rFonts w:ascii="Arial" w:hAnsi="Arial" w:cs="Arial"/>
        </w:rPr>
        <w:t>required</w:t>
      </w:r>
      <w:r w:rsidRPr="6B9DE975" w:rsidR="6C69A6CE">
        <w:rPr>
          <w:rFonts w:ascii="Arial" w:hAnsi="Arial" w:cs="Arial"/>
        </w:rPr>
        <w:t xml:space="preserve">, which details the outcome of the annual review. </w:t>
      </w:r>
      <w:r>
        <w:br/>
      </w:r>
    </w:p>
    <w:p w:rsidRPr="00184304" w:rsidR="00184304" w:rsidP="6B9DE975" w:rsidRDefault="00184304" w14:paraId="349ACA08" w14:textId="734CE3EE">
      <w:pPr>
        <w:spacing w:line="240" w:lineRule="auto"/>
        <w:ind w:left="720"/>
        <w:rPr>
          <w:rFonts w:ascii="Arial" w:hAnsi="Arial" w:cs="Arial"/>
          <w:color w:val="4F81BD" w:themeColor="accent1"/>
        </w:rPr>
      </w:pPr>
      <w:r w:rsidRPr="6B9DE975" w:rsidR="4C81A755">
        <w:rPr>
          <w:rFonts w:ascii="Arial" w:hAnsi="Arial" w:cs="Arial"/>
          <w:color w:val="4F81BD" w:themeColor="accent1" w:themeTint="FF" w:themeShade="FF"/>
        </w:rPr>
        <w:t xml:space="preserve">11. </w:t>
      </w:r>
      <w:r w:rsidRPr="6B9DE975" w:rsidR="6C69A6CE">
        <w:rPr>
          <w:rFonts w:ascii="Arial" w:hAnsi="Arial" w:cs="Arial"/>
          <w:color w:val="4F81BD" w:themeColor="accent1" w:themeTint="FF" w:themeShade="FF"/>
        </w:rPr>
        <w:t xml:space="preserve">References. </w:t>
      </w:r>
    </w:p>
    <w:p w:rsidR="00184304" w:rsidP="6B9DE975" w:rsidRDefault="009869DF" w14:paraId="4D5DA216" w14:textId="02D9EDB5">
      <w:pPr>
        <w:spacing w:after="0" w:line="240" w:lineRule="auto"/>
        <w:rPr>
          <w:rFonts w:ascii="Arial" w:hAnsi="Arial" w:cs="Arial"/>
        </w:rPr>
      </w:pPr>
      <w:r w:rsidRPr="6B9DE975" w:rsidR="6C69A6CE">
        <w:rPr>
          <w:rFonts w:ascii="Arial" w:hAnsi="Arial" w:cs="Arial"/>
        </w:rPr>
        <w:t xml:space="preserve">1. The Seven Principles of Public Life, Lord Nolan (1995) </w:t>
      </w:r>
      <w:hyperlink r:id="R0b003cb499a1417d">
        <w:r w:rsidRPr="6B9DE975" w:rsidR="4C81A755">
          <w:rPr>
            <w:rStyle w:val="Hyperlink"/>
            <w:rFonts w:ascii="Arial" w:hAnsi="Arial" w:cs="Arial"/>
          </w:rPr>
          <w:t>https://www.gov.uk/government/publications/the-7-principles-of-public-life</w:t>
        </w:r>
      </w:hyperlink>
      <w:r w:rsidRPr="6B9DE975" w:rsidR="6C69A6CE">
        <w:rPr>
          <w:rFonts w:ascii="Arial" w:hAnsi="Arial" w:cs="Arial"/>
        </w:rPr>
        <w:t xml:space="preserve"> </w:t>
      </w:r>
    </w:p>
    <w:p w:rsidR="00184304" w:rsidP="00184304" w:rsidRDefault="009869DF" w14:paraId="6A22AA14" w14:textId="758C215E">
      <w:pPr>
        <w:spacing w:after="0"/>
        <w:rPr>
          <w:rFonts w:ascii="Arial" w:hAnsi="Arial" w:cs="Arial"/>
        </w:rPr>
      </w:pPr>
      <w:r w:rsidRPr="009F6516">
        <w:rPr>
          <w:rFonts w:ascii="Arial" w:hAnsi="Arial" w:cs="Arial"/>
        </w:rPr>
        <w:t xml:space="preserve">2. The NHS Constitution of England (2023) Department of Health and Social Care. </w:t>
      </w:r>
      <w:hyperlink w:history="1" r:id="rId24">
        <w:r w:rsidRPr="00961238" w:rsidR="00184304">
          <w:rPr>
            <w:rStyle w:val="Hyperlink"/>
            <w:rFonts w:ascii="Arial" w:hAnsi="Arial" w:cs="Arial"/>
          </w:rPr>
          <w:t>https://www.gov.uk/government/publications/the-nhs-constitution-for-england/thenhsconstitution-for-england</w:t>
        </w:r>
      </w:hyperlink>
      <w:r w:rsidRPr="009F6516">
        <w:rPr>
          <w:rFonts w:ascii="Arial" w:hAnsi="Arial" w:cs="Arial"/>
        </w:rPr>
        <w:t xml:space="preserve"> </w:t>
      </w:r>
    </w:p>
    <w:p w:rsidR="009869DF" w:rsidP="009F6516" w:rsidRDefault="009869DF" w14:paraId="6873D074" w14:textId="09D42439">
      <w:pPr>
        <w:rPr>
          <w:rFonts w:ascii="Arial" w:hAnsi="Arial" w:cs="Arial"/>
        </w:rPr>
      </w:pPr>
      <w:r w:rsidRPr="6B9DE975" w:rsidR="6C69A6CE">
        <w:rPr>
          <w:rFonts w:ascii="Arial" w:hAnsi="Arial" w:cs="Arial"/>
        </w:rPr>
        <w:t xml:space="preserve">3. Quality Care Commission. The Fundamental Standards (2022) </w:t>
      </w:r>
      <w:hyperlink r:id="R3a80095818e24b15">
        <w:r w:rsidRPr="6B9DE975" w:rsidR="4C81A755">
          <w:rPr>
            <w:rStyle w:val="Hyperlink"/>
            <w:rFonts w:ascii="Arial" w:hAnsi="Arial" w:cs="Arial"/>
          </w:rPr>
          <w:t>https://www.cqc.org.uk/what-we-do/how-we-do-our-job/fundamental-standard</w:t>
        </w:r>
      </w:hyperlink>
      <w:r w:rsidRPr="6B9DE975" w:rsidR="4C81A755">
        <w:rPr>
          <w:rFonts w:ascii="Arial" w:hAnsi="Arial" w:cs="Arial"/>
        </w:rPr>
        <w:t xml:space="preserve"> </w:t>
      </w:r>
    </w:p>
    <w:p w:rsidRPr="009F6516" w:rsidR="00856452" w:rsidP="009F6516" w:rsidRDefault="00856452" w14:paraId="5A899EA0" w14:textId="77777777">
      <w:pPr>
        <w:rPr>
          <w:rFonts w:ascii="Arial" w:hAnsi="Arial" w:cs="Arial"/>
        </w:rPr>
      </w:pPr>
    </w:p>
    <w:p w:rsidR="00AF05A8" w:rsidP="00856452" w:rsidRDefault="007A7874" w14:paraId="3F6A2F9B" w14:textId="0ED4D437">
      <w:pPr>
        <w:pStyle w:val="Heading2"/>
      </w:pPr>
      <w:r>
        <w:t xml:space="preserve">APPENDIX </w:t>
      </w:r>
      <w:r w:rsidR="007A5D31">
        <w:t>3</w:t>
      </w:r>
      <w:r>
        <w:t xml:space="preserve"> </w:t>
      </w:r>
      <w:r w:rsidR="00A41EED">
        <w:t>–</w:t>
      </w:r>
      <w:r w:rsidR="007A5D31">
        <w:t xml:space="preserve"> Equalities Impact Assessment </w:t>
      </w:r>
    </w:p>
    <w:p w:rsidR="007A5D31" w:rsidP="00A41EED" w:rsidRDefault="007A5D31" w14:paraId="7F88B663" w14:textId="77777777">
      <w:pPr>
        <w:spacing w:after="160" w:line="259" w:lineRule="auto"/>
        <w:rPr>
          <w:rFonts w:ascii="Aptos" w:hAnsi="Aptos" w:eastAsia="Aptos" w:cs="Arial"/>
          <w:b/>
          <w:bCs/>
          <w:kern w:val="2"/>
          <w:sz w:val="24"/>
          <w:szCs w:val="24"/>
          <w:lang w:val="en-GB"/>
          <w14:ligatures w14:val="standardContextual"/>
        </w:rPr>
      </w:pPr>
    </w:p>
    <w:p w:rsidRPr="00A41EED" w:rsidR="00A41EED" w:rsidP="00A41EED" w:rsidRDefault="00A41EED" w14:paraId="065610C7" w14:textId="15DDF83B">
      <w:pPr>
        <w:spacing w:after="160" w:line="259" w:lineRule="auto"/>
        <w:rPr>
          <w:rFonts w:ascii="Aptos" w:hAnsi="Aptos" w:eastAsia="Aptos" w:cs="Arial"/>
          <w:b/>
          <w:bCs/>
          <w:kern w:val="2"/>
          <w:sz w:val="24"/>
          <w:szCs w:val="24"/>
          <w:lang w:val="en-GB"/>
          <w14:ligatures w14:val="standardContextual"/>
        </w:rPr>
      </w:pPr>
      <w:r w:rsidRPr="00A41EED">
        <w:rPr>
          <w:rFonts w:ascii="Aptos" w:hAnsi="Aptos" w:eastAsia="Aptos" w:cs="Arial"/>
          <w:b/>
          <w:bCs/>
          <w:kern w:val="2"/>
          <w:sz w:val="24"/>
          <w:szCs w:val="24"/>
          <w:lang w:val="en-GB"/>
          <w14:ligatures w14:val="standardContextual"/>
        </w:rPr>
        <w:t>Date Completed: 12/02/2026</w:t>
      </w:r>
    </w:p>
    <w:p w:rsidRPr="00A41EED" w:rsidR="00A41EED" w:rsidP="00A41EED" w:rsidRDefault="00A41EED" w14:paraId="2ECE5C4A" w14:textId="3AC9F4B1">
      <w:pPr>
        <w:spacing w:after="160" w:line="259" w:lineRule="auto"/>
        <w:rPr>
          <w:rFonts w:ascii="Aptos" w:hAnsi="Aptos" w:eastAsia="Aptos" w:cs="Arial"/>
          <w:b/>
          <w:bCs/>
          <w:kern w:val="2"/>
          <w:sz w:val="24"/>
          <w:szCs w:val="24"/>
          <w:lang w:val="en-GB"/>
          <w14:ligatures w14:val="standardContextual"/>
        </w:rPr>
      </w:pPr>
    </w:p>
    <w:tbl>
      <w:tblPr>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15" w:type="dxa"/>
          <w:left w:w="15" w:type="dxa"/>
          <w:bottom w:w="15" w:type="dxa"/>
          <w:right w:w="15" w:type="dxa"/>
        </w:tblCellMar>
        <w:tblLook w:val="04A0" w:firstRow="1" w:lastRow="0" w:firstColumn="1" w:lastColumn="0" w:noHBand="0" w:noVBand="1"/>
      </w:tblPr>
      <w:tblGrid>
        <w:gridCol w:w="2226"/>
        <w:gridCol w:w="7824"/>
      </w:tblGrid>
      <w:tr w:rsidRPr="00A41EED" w:rsidR="00A41EED" w:rsidTr="00A41EED" w14:paraId="7F851216" w14:textId="77777777">
        <w:tc>
          <w:tcPr>
            <w:tcW w:w="552" w:type="dxa"/>
            <w:shd w:val="clear" w:color="auto" w:fill="CAEDFB"/>
            <w:vAlign w:val="center"/>
            <w:hideMark/>
          </w:tcPr>
          <w:p w:rsidRPr="00A41EED" w:rsidR="00A41EED" w:rsidP="00A41EED" w:rsidRDefault="00A41EED" w14:paraId="3DB74CFD" w14:textId="77777777">
            <w:pPr>
              <w:spacing w:after="0" w:line="240" w:lineRule="auto"/>
              <w:rPr>
                <w:rFonts w:ascii="Arial" w:hAnsi="Arial" w:eastAsia="Times New Roman" w:cs="Arial"/>
                <w:lang w:val="en-GB" w:eastAsia="en-GB"/>
              </w:rPr>
            </w:pPr>
            <w:r w:rsidRPr="00A41EED">
              <w:rPr>
                <w:rFonts w:ascii="Arial" w:hAnsi="Arial" w:eastAsia="Times New Roman" w:cs="Arial"/>
                <w:b/>
                <w:bCs/>
                <w:lang w:val="en-GB" w:eastAsia="en-GB"/>
              </w:rPr>
              <w:t>Policy title</w:t>
            </w:r>
          </w:p>
        </w:tc>
        <w:tc>
          <w:tcPr>
            <w:tcW w:w="8444" w:type="dxa"/>
            <w:shd w:val="clear" w:color="auto" w:fill="CAEDFB"/>
            <w:vAlign w:val="center"/>
            <w:hideMark/>
          </w:tcPr>
          <w:p w:rsidRPr="00A41EED" w:rsidR="00A41EED" w:rsidP="00A41EED" w:rsidRDefault="00A41EED" w14:paraId="3C11520A" w14:textId="77777777">
            <w:pPr>
              <w:spacing w:after="0" w:line="300" w:lineRule="auto"/>
              <w:rPr>
                <w:rFonts w:ascii="Arial" w:hAnsi="Arial" w:eastAsia="Times New Roman" w:cs="Arial"/>
                <w:b/>
                <w:bCs/>
                <w:lang w:val="en-GB" w:eastAsia="en-GB"/>
              </w:rPr>
            </w:pPr>
            <w:r w:rsidRPr="00A41EED">
              <w:rPr>
                <w:rFonts w:ascii="Arial" w:hAnsi="Arial" w:eastAsia="Times New Roman" w:cs="Arial"/>
                <w:b/>
                <w:bCs/>
                <w:lang w:val="en-GB" w:eastAsia="en-GB"/>
              </w:rPr>
              <w:t>Central East ICB Exceptional Cases and Individual Funding Request (IFR) Policy v1.0</w:t>
            </w:r>
          </w:p>
        </w:tc>
      </w:tr>
      <w:tr w:rsidRPr="00A41EED" w:rsidR="00A41EED" w:rsidTr="00F87104" w14:paraId="431585AA" w14:textId="77777777">
        <w:tc>
          <w:tcPr>
            <w:tcW w:w="552" w:type="dxa"/>
            <w:vAlign w:val="center"/>
            <w:hideMark/>
          </w:tcPr>
          <w:p w:rsidRPr="00A41EED" w:rsidR="00A41EED" w:rsidP="00A41EED" w:rsidRDefault="00A41EED" w14:paraId="2F13C8A2" w14:textId="77777777">
            <w:pPr>
              <w:spacing w:after="0" w:line="240" w:lineRule="auto"/>
              <w:rPr>
                <w:rFonts w:ascii="Arial" w:hAnsi="Arial" w:eastAsia="Times New Roman" w:cs="Arial"/>
                <w:lang w:val="en-GB" w:eastAsia="en-GB"/>
              </w:rPr>
            </w:pPr>
            <w:r w:rsidRPr="00A41EED">
              <w:rPr>
                <w:rFonts w:ascii="Arial" w:hAnsi="Arial" w:eastAsia="Times New Roman" w:cs="Arial"/>
                <w:b/>
                <w:bCs/>
                <w:lang w:val="en-GB" w:eastAsia="en-GB"/>
              </w:rPr>
              <w:t>Description of proposed policy change</w:t>
            </w:r>
          </w:p>
        </w:tc>
        <w:tc>
          <w:tcPr>
            <w:tcW w:w="8444" w:type="dxa"/>
            <w:vAlign w:val="center"/>
          </w:tcPr>
          <w:p w:rsidRPr="00A41EED" w:rsidR="00A41EED" w:rsidP="00A41EED" w:rsidRDefault="00A41EED" w14:paraId="2504C565" w14:textId="77777777">
            <w:pPr>
              <w:spacing w:after="0" w:line="240" w:lineRule="auto"/>
              <w:rPr>
                <w:rFonts w:ascii="Arial" w:hAnsi="Arial" w:eastAsia="Times New Roman" w:cs="Arial"/>
                <w:lang w:val="en-GB" w:eastAsia="en-GB"/>
              </w:rPr>
            </w:pPr>
            <w:r w:rsidRPr="00A41EED">
              <w:rPr>
                <w:rFonts w:ascii="Arial" w:hAnsi="Arial" w:eastAsia="Times New Roman" w:cs="Arial"/>
                <w:lang w:val="en-GB" w:eastAsia="en-GB"/>
              </w:rPr>
              <w:t>The policy consolidates three legacy IFR policies (Cambridgeshire &amp; Peterborough, Bedfordshire Luton &amp; Milton Keynes, and Hertfordshire &amp; West Essex) into a single unified IFR policy for Central East ICB. It removes operational processes (held in a separate SOPs for future alignment) and harmonises definitions, criteria, governance, and decision</w:t>
            </w:r>
            <w:r w:rsidRPr="00A41EED">
              <w:rPr>
                <w:rFonts w:ascii="Cambria Math" w:hAnsi="Cambria Math" w:eastAsia="Times New Roman" w:cs="Cambria Math"/>
                <w:lang w:val="en-GB" w:eastAsia="en-GB"/>
              </w:rPr>
              <w:t>‑</w:t>
            </w:r>
            <w:r w:rsidRPr="00A41EED">
              <w:rPr>
                <w:rFonts w:ascii="Arial" w:hAnsi="Arial" w:eastAsia="Times New Roman" w:cs="Arial"/>
                <w:lang w:val="en-GB" w:eastAsia="en-GB"/>
              </w:rPr>
              <w:t>making principles across the new ICB footprint.</w:t>
            </w:r>
          </w:p>
        </w:tc>
      </w:tr>
      <w:tr w:rsidRPr="00A41EED" w:rsidR="00A41EED" w:rsidTr="00F87104" w14:paraId="28F659F8" w14:textId="77777777">
        <w:tc>
          <w:tcPr>
            <w:tcW w:w="552" w:type="dxa"/>
            <w:vAlign w:val="center"/>
            <w:hideMark/>
          </w:tcPr>
          <w:p w:rsidRPr="00A41EED" w:rsidR="00A41EED" w:rsidP="00A41EED" w:rsidRDefault="00A41EED" w14:paraId="2BB599A9" w14:textId="77777777">
            <w:pPr>
              <w:spacing w:after="0" w:line="240" w:lineRule="auto"/>
              <w:rPr>
                <w:rFonts w:ascii="Arial" w:hAnsi="Arial" w:eastAsia="Times New Roman" w:cs="Arial"/>
                <w:lang w:val="en-GB" w:eastAsia="en-GB"/>
              </w:rPr>
            </w:pPr>
            <w:r w:rsidRPr="00A41EED">
              <w:rPr>
                <w:rFonts w:ascii="Arial" w:hAnsi="Arial" w:eastAsia="Times New Roman" w:cs="Arial"/>
                <w:b/>
                <w:bCs/>
                <w:lang w:val="en-GB" w:eastAsia="en-GB"/>
              </w:rPr>
              <w:t>Purpose of the change</w:t>
            </w:r>
          </w:p>
        </w:tc>
        <w:tc>
          <w:tcPr>
            <w:tcW w:w="8444" w:type="dxa"/>
            <w:vAlign w:val="center"/>
          </w:tcPr>
          <w:p w:rsidRPr="00A41EED" w:rsidR="00A41EED" w:rsidP="00A41EED" w:rsidRDefault="00A41EED" w14:paraId="70D4A622" w14:textId="77777777">
            <w:pPr>
              <w:spacing w:after="0" w:line="240" w:lineRule="auto"/>
              <w:rPr>
                <w:rFonts w:ascii="Arial" w:hAnsi="Arial" w:eastAsia="Times New Roman" w:cs="Arial"/>
                <w:lang w:val="en-GB" w:eastAsia="en-GB"/>
              </w:rPr>
            </w:pPr>
            <w:r w:rsidRPr="00A41EED">
              <w:rPr>
                <w:rFonts w:ascii="Arial" w:hAnsi="Arial" w:eastAsia="Times New Roman" w:cs="Arial"/>
                <w:lang w:val="en-GB" w:eastAsia="en-GB"/>
              </w:rPr>
              <w:t>To ensure a consistent, transparent, and equitable approach to Individual Funding Requests and Exceptional Case Requests across the Central East ICB area. The unified policy aims to reduce unwarranted variation, strengthen fairness, and ensure decisions are based solely on clinical need, clinical effectiveness, and good use of NHS resources.</w:t>
            </w:r>
          </w:p>
        </w:tc>
      </w:tr>
      <w:tr w:rsidRPr="00A41EED" w:rsidR="00A41EED" w:rsidTr="00F87104" w14:paraId="51C49512" w14:textId="77777777">
        <w:tc>
          <w:tcPr>
            <w:tcW w:w="552" w:type="dxa"/>
            <w:vAlign w:val="center"/>
            <w:hideMark/>
          </w:tcPr>
          <w:p w:rsidRPr="00A41EED" w:rsidR="00A41EED" w:rsidP="00A41EED" w:rsidRDefault="00A41EED" w14:paraId="0DE63D10" w14:textId="77777777">
            <w:pPr>
              <w:spacing w:after="0" w:line="240" w:lineRule="auto"/>
              <w:rPr>
                <w:rFonts w:ascii="Arial" w:hAnsi="Arial" w:eastAsia="Times New Roman" w:cs="Arial"/>
                <w:lang w:val="en-GB" w:eastAsia="en-GB"/>
              </w:rPr>
            </w:pPr>
            <w:r w:rsidRPr="00A41EED">
              <w:rPr>
                <w:rFonts w:ascii="Arial" w:hAnsi="Arial" w:eastAsia="Times New Roman" w:cs="Arial"/>
                <w:b/>
                <w:bCs/>
                <w:lang w:val="en-GB" w:eastAsia="en-GB"/>
              </w:rPr>
              <w:t>Population affected</w:t>
            </w:r>
          </w:p>
        </w:tc>
        <w:tc>
          <w:tcPr>
            <w:tcW w:w="8444" w:type="dxa"/>
            <w:vAlign w:val="center"/>
          </w:tcPr>
          <w:p w:rsidRPr="00A41EED" w:rsidR="00A41EED" w:rsidP="00A41EED" w:rsidRDefault="00A41EED" w14:paraId="54C14A9B" w14:textId="019B469D">
            <w:pPr>
              <w:spacing w:after="0" w:line="240" w:lineRule="auto"/>
              <w:rPr>
                <w:rFonts w:ascii="Arial" w:hAnsi="Arial" w:eastAsia="Times New Roman" w:cs="Arial"/>
                <w:lang w:val="en-GB" w:eastAsia="en-GB"/>
              </w:rPr>
            </w:pPr>
            <w:r w:rsidRPr="00A41EED">
              <w:rPr>
                <w:rFonts w:ascii="Arial" w:hAnsi="Arial" w:eastAsia="Times New Roman" w:cs="Arial"/>
                <w:lang w:val="en-GB" w:eastAsia="en-GB"/>
              </w:rPr>
              <w:t>All patients registered with a GP practice within Central East ICB</w:t>
            </w:r>
            <w:r w:rsidR="00915539">
              <w:rPr>
                <w:rFonts w:ascii="Arial" w:hAnsi="Arial" w:eastAsia="Times New Roman" w:cs="Arial"/>
                <w:lang w:val="en-GB" w:eastAsia="en-GB"/>
              </w:rPr>
              <w:t>.</w:t>
            </w:r>
          </w:p>
          <w:p w:rsidRPr="00A41EED" w:rsidR="00A41EED" w:rsidP="00A41EED" w:rsidRDefault="00A41EED" w14:paraId="1657F434" w14:textId="2A40D064">
            <w:pPr>
              <w:spacing w:after="0" w:line="240" w:lineRule="auto"/>
              <w:rPr>
                <w:rFonts w:ascii="Arial" w:hAnsi="Arial" w:eastAsia="Times New Roman" w:cs="Arial"/>
                <w:lang w:val="en-GB" w:eastAsia="en-GB"/>
              </w:rPr>
            </w:pPr>
            <w:r w:rsidRPr="00A41EED">
              <w:rPr>
                <w:rFonts w:ascii="Arial" w:hAnsi="Arial" w:eastAsia="Times New Roman" w:cs="Arial"/>
                <w:lang w:val="en-GB" w:eastAsia="en-GB"/>
              </w:rPr>
              <w:t>All NHS clinicians submitting IFR applications</w:t>
            </w:r>
            <w:r w:rsidR="00915539">
              <w:rPr>
                <w:rFonts w:ascii="Arial" w:hAnsi="Arial" w:eastAsia="Times New Roman" w:cs="Arial"/>
                <w:lang w:val="en-GB" w:eastAsia="en-GB"/>
              </w:rPr>
              <w:t>.</w:t>
            </w:r>
          </w:p>
          <w:p w:rsidRPr="00A41EED" w:rsidR="00A41EED" w:rsidP="00A41EED" w:rsidRDefault="00A41EED" w14:paraId="474024D7" w14:textId="20A1B064">
            <w:pPr>
              <w:spacing w:after="0" w:line="240" w:lineRule="auto"/>
              <w:rPr>
                <w:rFonts w:ascii="Arial" w:hAnsi="Arial" w:eastAsia="Times New Roman" w:cs="Arial"/>
                <w:lang w:val="en-GB" w:eastAsia="en-GB"/>
              </w:rPr>
            </w:pPr>
            <w:r w:rsidRPr="00A41EED">
              <w:rPr>
                <w:rFonts w:ascii="Arial" w:hAnsi="Arial" w:eastAsia="Times New Roman" w:cs="Arial"/>
                <w:lang w:val="en-GB" w:eastAsia="en-GB"/>
              </w:rPr>
              <w:t>Providers delivering care to Central East ICB patients</w:t>
            </w:r>
            <w:r w:rsidR="00915539">
              <w:rPr>
                <w:rFonts w:ascii="Arial" w:hAnsi="Arial" w:eastAsia="Times New Roman" w:cs="Arial"/>
                <w:lang w:val="en-GB" w:eastAsia="en-GB"/>
              </w:rPr>
              <w:t>.</w:t>
            </w:r>
          </w:p>
          <w:p w:rsidRPr="00A41EED" w:rsidR="00A41EED" w:rsidP="00A41EED" w:rsidRDefault="00A41EED" w14:paraId="02D21D8E" w14:textId="01577624">
            <w:pPr>
              <w:spacing w:after="0" w:line="240" w:lineRule="auto"/>
              <w:rPr>
                <w:rFonts w:ascii="Arial" w:hAnsi="Arial" w:eastAsia="Times New Roman" w:cs="Arial"/>
                <w:lang w:val="en-GB" w:eastAsia="en-GB"/>
              </w:rPr>
            </w:pPr>
            <w:r w:rsidRPr="00A41EED">
              <w:rPr>
                <w:rFonts w:ascii="Arial" w:hAnsi="Arial" w:eastAsia="Times New Roman" w:cs="Arial"/>
                <w:lang w:val="en-GB" w:eastAsia="en-GB"/>
              </w:rPr>
              <w:t>IFR Panel members, Screening Group members, and clinical advisors</w:t>
            </w:r>
            <w:r w:rsidR="00915539">
              <w:rPr>
                <w:rFonts w:ascii="Arial" w:hAnsi="Arial" w:eastAsia="Times New Roman" w:cs="Arial"/>
                <w:lang w:val="en-GB" w:eastAsia="en-GB"/>
              </w:rPr>
              <w:t>.</w:t>
            </w:r>
          </w:p>
        </w:tc>
      </w:tr>
      <w:tr w:rsidRPr="00A41EED" w:rsidR="00A41EED" w:rsidTr="00A41EED" w14:paraId="3F00099F" w14:textId="77777777">
        <w:tc>
          <w:tcPr>
            <w:tcW w:w="0" w:type="auto"/>
            <w:gridSpan w:val="2"/>
            <w:shd w:val="clear" w:color="auto" w:fill="CAEDFB"/>
            <w:vAlign w:val="center"/>
          </w:tcPr>
          <w:p w:rsidRPr="00A41EED" w:rsidR="00A41EED" w:rsidP="00A41EED" w:rsidRDefault="00A41EED" w14:paraId="7D97AE20" w14:textId="77777777">
            <w:pPr>
              <w:spacing w:after="0" w:line="240" w:lineRule="auto"/>
              <w:rPr>
                <w:rFonts w:ascii="Arial" w:hAnsi="Arial" w:eastAsia="Times New Roman" w:cs="Arial"/>
                <w:lang w:val="en-GB" w:eastAsia="en-GB"/>
              </w:rPr>
            </w:pPr>
            <w:r w:rsidRPr="00A41EED">
              <w:rPr>
                <w:rFonts w:ascii="Arial" w:hAnsi="Arial" w:eastAsia="Times New Roman" w:cs="Arial"/>
                <w:b/>
                <w:bCs/>
                <w:lang w:val="en-GB" w:eastAsia="en-GB"/>
              </w:rPr>
              <w:t>Assessment of protected characteristics</w:t>
            </w:r>
          </w:p>
        </w:tc>
      </w:tr>
      <w:tr w:rsidRPr="00A41EED" w:rsidR="00A41EED" w:rsidTr="00F87104" w14:paraId="493BA718" w14:textId="77777777">
        <w:tc>
          <w:tcPr>
            <w:tcW w:w="552" w:type="dxa"/>
            <w:vAlign w:val="center"/>
            <w:hideMark/>
          </w:tcPr>
          <w:p w:rsidRPr="00A41EED" w:rsidR="00A41EED" w:rsidP="00A41EED" w:rsidRDefault="00A41EED" w14:paraId="7F7DE64F" w14:textId="77777777">
            <w:pPr>
              <w:spacing w:after="0" w:line="240" w:lineRule="auto"/>
              <w:rPr>
                <w:rFonts w:ascii="Arial" w:hAnsi="Arial" w:eastAsia="Times New Roman" w:cs="Arial"/>
                <w:lang w:val="en-GB" w:eastAsia="en-GB"/>
              </w:rPr>
            </w:pPr>
            <w:r w:rsidRPr="00A41EED">
              <w:rPr>
                <w:rFonts w:ascii="Arial" w:hAnsi="Arial" w:eastAsia="Times New Roman" w:cs="Arial"/>
                <w:b/>
                <w:bCs/>
                <w:lang w:val="en-GB" w:eastAsia="en-GB"/>
              </w:rPr>
              <w:t>Age</w:t>
            </w:r>
          </w:p>
        </w:tc>
        <w:tc>
          <w:tcPr>
            <w:tcW w:w="8444" w:type="dxa"/>
            <w:vAlign w:val="center"/>
            <w:hideMark/>
          </w:tcPr>
          <w:p w:rsidRPr="00A41EED" w:rsidR="00A41EED" w:rsidP="00A41EED" w:rsidRDefault="00A41EED" w14:paraId="1BF964D4" w14:textId="77777777">
            <w:pPr>
              <w:spacing w:after="0" w:line="240" w:lineRule="auto"/>
              <w:rPr>
                <w:rFonts w:ascii="Arial" w:hAnsi="Arial" w:eastAsia="Times New Roman" w:cs="Arial"/>
                <w:lang w:val="en-GB" w:eastAsia="en-GB"/>
              </w:rPr>
            </w:pPr>
            <w:r w:rsidRPr="00A41EED">
              <w:rPr>
                <w:rFonts w:ascii="Arial" w:hAnsi="Arial" w:eastAsia="Times New Roman" w:cs="Arial"/>
                <w:lang w:val="en-GB" w:eastAsia="en-GB"/>
              </w:rPr>
              <w:t>No negative impact identified. IFR decisions are based on clinical evidence and exceptionality, not age. Children and older adults may have different evidence bases or clinical presentations, but the policy allows for specialist input where required.</w:t>
            </w:r>
          </w:p>
          <w:p w:rsidRPr="00A41EED" w:rsidR="00A41EED" w:rsidP="00A41EED" w:rsidRDefault="00A41EED" w14:paraId="499DE3DE" w14:textId="3286B968">
            <w:pPr>
              <w:spacing w:after="0" w:line="240" w:lineRule="auto"/>
              <w:rPr>
                <w:rFonts w:ascii="Arial" w:hAnsi="Arial" w:eastAsia="Times New Roman" w:cs="Arial"/>
                <w:lang w:val="en-GB" w:eastAsia="en-GB"/>
              </w:rPr>
            </w:pPr>
            <w:r w:rsidRPr="00A41EED">
              <w:rPr>
                <w:rFonts w:ascii="Arial" w:hAnsi="Arial" w:eastAsia="Times New Roman" w:cs="Arial"/>
                <w:lang w:val="en-GB" w:eastAsia="en-GB"/>
              </w:rPr>
              <w:t>Impact: Neutral</w:t>
            </w:r>
            <w:r w:rsidR="00915539">
              <w:rPr>
                <w:rFonts w:ascii="Arial" w:hAnsi="Arial" w:eastAsia="Times New Roman" w:cs="Arial"/>
                <w:lang w:val="en-GB" w:eastAsia="en-GB"/>
              </w:rPr>
              <w:t>.</w:t>
            </w:r>
          </w:p>
        </w:tc>
      </w:tr>
      <w:tr w:rsidRPr="00A41EED" w:rsidR="00A41EED" w:rsidTr="00F87104" w14:paraId="1EE45877" w14:textId="77777777">
        <w:trPr>
          <w:trHeight w:val="1230"/>
        </w:trPr>
        <w:tc>
          <w:tcPr>
            <w:tcW w:w="552" w:type="dxa"/>
            <w:vAlign w:val="center"/>
            <w:hideMark/>
          </w:tcPr>
          <w:p w:rsidRPr="00A41EED" w:rsidR="00A41EED" w:rsidP="00A41EED" w:rsidRDefault="00A41EED" w14:paraId="10862FB2" w14:textId="77777777">
            <w:pPr>
              <w:spacing w:after="0" w:line="240" w:lineRule="auto"/>
              <w:rPr>
                <w:rFonts w:ascii="Arial" w:hAnsi="Arial" w:eastAsia="Times New Roman" w:cs="Arial"/>
                <w:lang w:val="en-GB" w:eastAsia="en-GB"/>
              </w:rPr>
            </w:pPr>
            <w:r w:rsidRPr="00A41EED">
              <w:rPr>
                <w:rFonts w:ascii="Arial" w:hAnsi="Arial" w:eastAsia="Times New Roman" w:cs="Arial"/>
                <w:b/>
                <w:bCs/>
                <w:lang w:val="en-GB" w:eastAsia="en-GB"/>
              </w:rPr>
              <w:t>Disability</w:t>
            </w:r>
          </w:p>
        </w:tc>
        <w:tc>
          <w:tcPr>
            <w:tcW w:w="8444" w:type="dxa"/>
            <w:vAlign w:val="center"/>
            <w:hideMark/>
          </w:tcPr>
          <w:p w:rsidRPr="00A41EED" w:rsidR="00A41EED" w:rsidP="00A41EED" w:rsidRDefault="00A41EED" w14:paraId="06E06954" w14:textId="77777777">
            <w:pPr>
              <w:spacing w:after="0" w:line="240" w:lineRule="auto"/>
              <w:rPr>
                <w:rFonts w:ascii="Arial" w:hAnsi="Arial" w:eastAsia="Times New Roman" w:cs="Arial"/>
                <w:lang w:val="en-GB" w:eastAsia="en-GB"/>
              </w:rPr>
            </w:pPr>
            <w:r w:rsidRPr="00A41EED">
              <w:rPr>
                <w:rFonts w:ascii="Arial" w:hAnsi="Arial" w:eastAsia="Times New Roman" w:cs="Arial"/>
                <w:lang w:val="en-GB" w:eastAsia="en-GB"/>
              </w:rPr>
              <w:t>Potential for indirect impact where disability</w:t>
            </w:r>
            <w:r w:rsidRPr="00A41EED">
              <w:rPr>
                <w:rFonts w:ascii="Cambria Math" w:hAnsi="Cambria Math" w:eastAsia="Times New Roman" w:cs="Cambria Math"/>
                <w:lang w:val="en-GB" w:eastAsia="en-GB"/>
              </w:rPr>
              <w:t>‑</w:t>
            </w:r>
            <w:r w:rsidRPr="00A41EED">
              <w:rPr>
                <w:rFonts w:ascii="Arial" w:hAnsi="Arial" w:eastAsia="Times New Roman" w:cs="Arial"/>
                <w:lang w:val="en-GB" w:eastAsia="en-GB"/>
              </w:rPr>
              <w:t>related comorbidities affect treatment options. The policy explicitly excludes non</w:t>
            </w:r>
            <w:r w:rsidRPr="00A41EED">
              <w:rPr>
                <w:rFonts w:ascii="Cambria Math" w:hAnsi="Cambria Math" w:eastAsia="Times New Roman" w:cs="Cambria Math"/>
                <w:lang w:val="en-GB" w:eastAsia="en-GB"/>
              </w:rPr>
              <w:t>‑</w:t>
            </w:r>
            <w:r w:rsidRPr="00A41EED">
              <w:rPr>
                <w:rFonts w:ascii="Arial" w:hAnsi="Arial" w:eastAsia="Times New Roman" w:cs="Arial"/>
                <w:lang w:val="en-GB" w:eastAsia="en-GB"/>
              </w:rPr>
              <w:t>clinical factors but allows clinically relevant comorbidities to be considered. Accessible communication formats may be required.</w:t>
            </w:r>
          </w:p>
          <w:p w:rsidRPr="00A41EED" w:rsidR="00A41EED" w:rsidP="00A41EED" w:rsidRDefault="00A41EED" w14:paraId="6A356EB0" w14:textId="0CF67F25">
            <w:pPr>
              <w:spacing w:after="0" w:line="240" w:lineRule="auto"/>
              <w:rPr>
                <w:rFonts w:ascii="Arial" w:hAnsi="Arial" w:eastAsia="Times New Roman" w:cs="Arial"/>
                <w:lang w:val="en-GB" w:eastAsia="en-GB"/>
              </w:rPr>
            </w:pPr>
            <w:r w:rsidRPr="00A41EED">
              <w:rPr>
                <w:rFonts w:ascii="Arial" w:hAnsi="Arial" w:eastAsia="Times New Roman" w:cs="Arial"/>
                <w:lang w:val="en-GB" w:eastAsia="en-GB"/>
              </w:rPr>
              <w:t>Impact: Low risk / Neutral with mitigations</w:t>
            </w:r>
            <w:r w:rsidR="00915539">
              <w:rPr>
                <w:rFonts w:ascii="Arial" w:hAnsi="Arial" w:eastAsia="Times New Roman" w:cs="Arial"/>
                <w:lang w:val="en-GB" w:eastAsia="en-GB"/>
              </w:rPr>
              <w:t>.</w:t>
            </w:r>
          </w:p>
        </w:tc>
      </w:tr>
      <w:tr w:rsidRPr="00A41EED" w:rsidR="00A41EED" w:rsidTr="00F87104" w14:paraId="3B61329A" w14:textId="77777777">
        <w:tc>
          <w:tcPr>
            <w:tcW w:w="552" w:type="dxa"/>
            <w:vAlign w:val="center"/>
            <w:hideMark/>
          </w:tcPr>
          <w:p w:rsidRPr="00A41EED" w:rsidR="00A41EED" w:rsidP="00A41EED" w:rsidRDefault="00A41EED" w14:paraId="392290BE" w14:textId="77777777">
            <w:pPr>
              <w:spacing w:after="0" w:line="240" w:lineRule="auto"/>
              <w:rPr>
                <w:rFonts w:ascii="Arial" w:hAnsi="Arial" w:eastAsia="Times New Roman" w:cs="Arial"/>
                <w:lang w:val="en-GB" w:eastAsia="en-GB"/>
              </w:rPr>
            </w:pPr>
            <w:r w:rsidRPr="00A41EED">
              <w:rPr>
                <w:rFonts w:ascii="Arial" w:hAnsi="Arial" w:eastAsia="Times New Roman" w:cs="Arial"/>
                <w:b/>
                <w:bCs/>
                <w:lang w:val="en-GB" w:eastAsia="en-GB"/>
              </w:rPr>
              <w:t>Sex</w:t>
            </w:r>
          </w:p>
        </w:tc>
        <w:tc>
          <w:tcPr>
            <w:tcW w:w="8444" w:type="dxa"/>
            <w:vAlign w:val="center"/>
            <w:hideMark/>
          </w:tcPr>
          <w:p w:rsidRPr="00A41EED" w:rsidR="00A41EED" w:rsidP="00A41EED" w:rsidRDefault="00A41EED" w14:paraId="7E1795BF" w14:textId="77777777">
            <w:pPr>
              <w:spacing w:after="0" w:line="240" w:lineRule="auto"/>
              <w:rPr>
                <w:rFonts w:ascii="Arial" w:hAnsi="Arial" w:eastAsia="Times New Roman" w:cs="Arial"/>
                <w:lang w:val="en-GB" w:eastAsia="en-GB"/>
              </w:rPr>
            </w:pPr>
            <w:r w:rsidRPr="00A41EED">
              <w:rPr>
                <w:rFonts w:ascii="Arial" w:hAnsi="Arial" w:eastAsia="Times New Roman" w:cs="Arial"/>
                <w:lang w:val="en-GB" w:eastAsia="en-GB"/>
              </w:rPr>
              <w:t>No differential impact identified. Sex</w:t>
            </w:r>
            <w:r w:rsidRPr="00A41EED">
              <w:rPr>
                <w:rFonts w:ascii="Cambria Math" w:hAnsi="Cambria Math" w:eastAsia="Times New Roman" w:cs="Cambria Math"/>
                <w:lang w:val="en-GB" w:eastAsia="en-GB"/>
              </w:rPr>
              <w:t>‑</w:t>
            </w:r>
            <w:r w:rsidRPr="00A41EED">
              <w:rPr>
                <w:rFonts w:ascii="Arial" w:hAnsi="Arial" w:eastAsia="Times New Roman" w:cs="Arial"/>
                <w:lang w:val="en-GB" w:eastAsia="en-GB"/>
              </w:rPr>
              <w:t>specific conditions are assessed on clinical grounds only.</w:t>
            </w:r>
          </w:p>
          <w:p w:rsidRPr="00A41EED" w:rsidR="00A41EED" w:rsidP="00A41EED" w:rsidRDefault="00A41EED" w14:paraId="69D8C096" w14:textId="720AC8B4">
            <w:pPr>
              <w:spacing w:after="0" w:line="240" w:lineRule="auto"/>
              <w:rPr>
                <w:rFonts w:ascii="Arial" w:hAnsi="Arial" w:eastAsia="Times New Roman" w:cs="Arial"/>
                <w:lang w:val="en-GB" w:eastAsia="en-GB"/>
              </w:rPr>
            </w:pPr>
            <w:r w:rsidRPr="00A41EED">
              <w:rPr>
                <w:rFonts w:ascii="Arial" w:hAnsi="Arial" w:eastAsia="Times New Roman" w:cs="Arial"/>
                <w:lang w:val="en-GB" w:eastAsia="en-GB"/>
              </w:rPr>
              <w:t>Impact: Neutral</w:t>
            </w:r>
            <w:r w:rsidR="00915539">
              <w:rPr>
                <w:rFonts w:ascii="Arial" w:hAnsi="Arial" w:eastAsia="Times New Roman" w:cs="Arial"/>
                <w:lang w:val="en-GB" w:eastAsia="en-GB"/>
              </w:rPr>
              <w:t>.</w:t>
            </w:r>
          </w:p>
        </w:tc>
      </w:tr>
      <w:tr w:rsidRPr="00A41EED" w:rsidR="00A41EED" w:rsidTr="00F87104" w14:paraId="4CB7FC2B" w14:textId="77777777">
        <w:tc>
          <w:tcPr>
            <w:tcW w:w="552" w:type="dxa"/>
            <w:vAlign w:val="center"/>
            <w:hideMark/>
          </w:tcPr>
          <w:p w:rsidRPr="00A41EED" w:rsidR="00A41EED" w:rsidP="00A41EED" w:rsidRDefault="00A41EED" w14:paraId="1ADF1E4E" w14:textId="77777777">
            <w:pPr>
              <w:spacing w:after="0" w:line="240" w:lineRule="auto"/>
              <w:rPr>
                <w:rFonts w:ascii="Arial" w:hAnsi="Arial" w:eastAsia="Times New Roman" w:cs="Arial"/>
                <w:lang w:val="en-GB" w:eastAsia="en-GB"/>
              </w:rPr>
            </w:pPr>
            <w:r w:rsidRPr="00A41EED">
              <w:rPr>
                <w:rFonts w:ascii="Arial" w:hAnsi="Arial" w:eastAsia="Times New Roman" w:cs="Arial"/>
                <w:b/>
                <w:bCs/>
                <w:lang w:val="en-GB" w:eastAsia="en-GB"/>
              </w:rPr>
              <w:t>Gender reassignment</w:t>
            </w:r>
          </w:p>
        </w:tc>
        <w:tc>
          <w:tcPr>
            <w:tcW w:w="8444" w:type="dxa"/>
            <w:vAlign w:val="center"/>
            <w:hideMark/>
          </w:tcPr>
          <w:p w:rsidRPr="00A41EED" w:rsidR="00A41EED" w:rsidP="00A41EED" w:rsidRDefault="00A41EED" w14:paraId="7C9A6070" w14:textId="77777777">
            <w:pPr>
              <w:spacing w:after="0" w:line="240" w:lineRule="auto"/>
              <w:rPr>
                <w:rFonts w:ascii="Arial" w:hAnsi="Arial" w:eastAsia="Times New Roman" w:cs="Arial"/>
                <w:lang w:val="en-GB" w:eastAsia="en-GB"/>
              </w:rPr>
            </w:pPr>
            <w:r w:rsidRPr="00A41EED">
              <w:rPr>
                <w:rFonts w:ascii="Arial" w:hAnsi="Arial" w:eastAsia="Times New Roman" w:cs="Arial"/>
                <w:lang w:val="en-GB" w:eastAsia="en-GB"/>
              </w:rPr>
              <w:t>No direct impact identified. Some trans patients may have limited evidence bases for certain treatments. The policy allows for specialist advice where needed.</w:t>
            </w:r>
          </w:p>
          <w:p w:rsidRPr="00A41EED" w:rsidR="00A41EED" w:rsidP="00A41EED" w:rsidRDefault="00A41EED" w14:paraId="49729B2D" w14:textId="039812D7">
            <w:pPr>
              <w:spacing w:after="0" w:line="240" w:lineRule="auto"/>
              <w:rPr>
                <w:rFonts w:ascii="Arial" w:hAnsi="Arial" w:eastAsia="Times New Roman" w:cs="Arial"/>
                <w:lang w:val="en-GB" w:eastAsia="en-GB"/>
              </w:rPr>
            </w:pPr>
            <w:r w:rsidRPr="00A41EED">
              <w:rPr>
                <w:rFonts w:ascii="Arial" w:hAnsi="Arial" w:eastAsia="Times New Roman" w:cs="Arial"/>
                <w:lang w:val="en-GB" w:eastAsia="en-GB"/>
              </w:rPr>
              <w:t>Impact: Low risk / Neutral with mitigations</w:t>
            </w:r>
            <w:r w:rsidR="00915539">
              <w:rPr>
                <w:rFonts w:ascii="Arial" w:hAnsi="Arial" w:eastAsia="Times New Roman" w:cs="Arial"/>
                <w:lang w:val="en-GB" w:eastAsia="en-GB"/>
              </w:rPr>
              <w:t>.</w:t>
            </w:r>
          </w:p>
        </w:tc>
      </w:tr>
      <w:tr w:rsidRPr="00A41EED" w:rsidR="00A41EED" w:rsidTr="00F87104" w14:paraId="7E67EC33" w14:textId="77777777">
        <w:tc>
          <w:tcPr>
            <w:tcW w:w="552" w:type="dxa"/>
            <w:vAlign w:val="center"/>
            <w:hideMark/>
          </w:tcPr>
          <w:p w:rsidRPr="00A41EED" w:rsidR="00A41EED" w:rsidP="00A41EED" w:rsidRDefault="00A41EED" w14:paraId="4951C9E6" w14:textId="77777777">
            <w:pPr>
              <w:spacing w:after="0" w:line="240" w:lineRule="auto"/>
              <w:rPr>
                <w:rFonts w:ascii="Arial" w:hAnsi="Arial" w:eastAsia="Times New Roman" w:cs="Arial"/>
                <w:b/>
                <w:bCs/>
                <w:lang w:val="en-GB" w:eastAsia="en-GB"/>
              </w:rPr>
            </w:pPr>
            <w:r w:rsidRPr="00A41EED">
              <w:rPr>
                <w:rFonts w:ascii="Arial" w:hAnsi="Arial" w:eastAsia="Times New Roman" w:cs="Arial"/>
                <w:b/>
                <w:bCs/>
                <w:lang w:val="en-GB" w:eastAsia="en-GB"/>
              </w:rPr>
              <w:t>Pregnancy and maternity</w:t>
            </w:r>
          </w:p>
        </w:tc>
        <w:tc>
          <w:tcPr>
            <w:tcW w:w="8444" w:type="dxa"/>
            <w:vAlign w:val="center"/>
            <w:hideMark/>
          </w:tcPr>
          <w:p w:rsidRPr="00A41EED" w:rsidR="00A41EED" w:rsidP="00A41EED" w:rsidRDefault="00A41EED" w14:paraId="61BB52F2" w14:textId="77777777">
            <w:pPr>
              <w:spacing w:after="0" w:line="240" w:lineRule="auto"/>
              <w:rPr>
                <w:rFonts w:ascii="Arial" w:hAnsi="Arial" w:eastAsia="Times New Roman" w:cs="Arial"/>
                <w:lang w:val="en-GB" w:eastAsia="en-GB"/>
              </w:rPr>
            </w:pPr>
            <w:r w:rsidRPr="00A41EED">
              <w:rPr>
                <w:rFonts w:ascii="Arial" w:hAnsi="Arial" w:eastAsia="Times New Roman" w:cs="Arial"/>
                <w:lang w:val="en-GB" w:eastAsia="en-GB"/>
              </w:rPr>
              <w:t>No negative impact identified. Pregnancy</w:t>
            </w:r>
            <w:r w:rsidRPr="00A41EED">
              <w:rPr>
                <w:rFonts w:ascii="Cambria Math" w:hAnsi="Cambria Math" w:eastAsia="Times New Roman" w:cs="Cambria Math"/>
                <w:lang w:val="en-GB" w:eastAsia="en-GB"/>
              </w:rPr>
              <w:t>‑</w:t>
            </w:r>
            <w:r w:rsidRPr="00A41EED">
              <w:rPr>
                <w:rFonts w:ascii="Arial" w:hAnsi="Arial" w:eastAsia="Times New Roman" w:cs="Arial"/>
                <w:lang w:val="en-GB" w:eastAsia="en-GB"/>
              </w:rPr>
              <w:t>related clinical considerations are handled through standard clinical pathways. Urgent IFRs can be prioritised where delay would be unsafe.</w:t>
            </w:r>
          </w:p>
          <w:p w:rsidRPr="00A41EED" w:rsidR="00A41EED" w:rsidP="00A41EED" w:rsidRDefault="00A41EED" w14:paraId="6A69F84F" w14:textId="2D9FB6B9">
            <w:pPr>
              <w:spacing w:after="0" w:line="240" w:lineRule="auto"/>
              <w:rPr>
                <w:rFonts w:ascii="Arial" w:hAnsi="Arial" w:eastAsia="Times New Roman" w:cs="Arial"/>
                <w:lang w:val="en-GB" w:eastAsia="en-GB"/>
              </w:rPr>
            </w:pPr>
            <w:r w:rsidRPr="00A41EED">
              <w:rPr>
                <w:rFonts w:ascii="Arial" w:hAnsi="Arial" w:eastAsia="Times New Roman" w:cs="Arial"/>
                <w:lang w:val="en-GB" w:eastAsia="en-GB"/>
              </w:rPr>
              <w:t>Impact: Neutral</w:t>
            </w:r>
            <w:r w:rsidR="00915539">
              <w:rPr>
                <w:rFonts w:ascii="Arial" w:hAnsi="Arial" w:eastAsia="Times New Roman" w:cs="Arial"/>
                <w:lang w:val="en-GB" w:eastAsia="en-GB"/>
              </w:rPr>
              <w:t>.</w:t>
            </w:r>
          </w:p>
        </w:tc>
      </w:tr>
      <w:tr w:rsidRPr="00A41EED" w:rsidR="00A41EED" w:rsidTr="00F87104" w14:paraId="0A9EB4A9" w14:textId="77777777">
        <w:tc>
          <w:tcPr>
            <w:tcW w:w="552" w:type="dxa"/>
            <w:vAlign w:val="center"/>
            <w:hideMark/>
          </w:tcPr>
          <w:p w:rsidRPr="00A41EED" w:rsidR="00A41EED" w:rsidP="00A41EED" w:rsidRDefault="00A41EED" w14:paraId="73DD6A3E" w14:textId="77777777">
            <w:pPr>
              <w:spacing w:after="0" w:line="240" w:lineRule="auto"/>
              <w:rPr>
                <w:rFonts w:ascii="Arial" w:hAnsi="Arial" w:eastAsia="Times New Roman" w:cs="Arial"/>
                <w:b/>
                <w:bCs/>
                <w:lang w:val="en-GB" w:eastAsia="en-GB"/>
              </w:rPr>
            </w:pPr>
            <w:r w:rsidRPr="00A41EED">
              <w:rPr>
                <w:rFonts w:ascii="Arial" w:hAnsi="Arial" w:eastAsia="Times New Roman" w:cs="Arial"/>
                <w:b/>
                <w:bCs/>
                <w:lang w:val="en-GB" w:eastAsia="en-GB"/>
              </w:rPr>
              <w:t>Race (including ethnicity and nationality)</w:t>
            </w:r>
          </w:p>
        </w:tc>
        <w:tc>
          <w:tcPr>
            <w:tcW w:w="8444" w:type="dxa"/>
            <w:vAlign w:val="center"/>
            <w:hideMark/>
          </w:tcPr>
          <w:p w:rsidRPr="00A41EED" w:rsidR="00A41EED" w:rsidP="00A41EED" w:rsidRDefault="00A41EED" w14:paraId="1041C756" w14:textId="77777777">
            <w:pPr>
              <w:spacing w:after="0" w:line="240" w:lineRule="auto"/>
              <w:rPr>
                <w:rFonts w:ascii="Arial" w:hAnsi="Arial" w:eastAsia="Times New Roman" w:cs="Arial"/>
                <w:lang w:val="en-GB" w:eastAsia="en-GB"/>
              </w:rPr>
            </w:pPr>
            <w:r w:rsidRPr="00A41EED">
              <w:rPr>
                <w:rFonts w:ascii="Arial" w:hAnsi="Arial" w:eastAsia="Times New Roman" w:cs="Arial"/>
                <w:lang w:val="en-GB" w:eastAsia="en-GB"/>
              </w:rPr>
              <w:t>No negative impact identified. Some conditions have different prevalence or genetic patterns across ethnic groups; the policy allows genotype</w:t>
            </w:r>
            <w:r w:rsidRPr="00A41EED">
              <w:rPr>
                <w:rFonts w:ascii="Cambria Math" w:hAnsi="Cambria Math" w:eastAsia="Times New Roman" w:cs="Cambria Math"/>
                <w:lang w:val="en-GB" w:eastAsia="en-GB"/>
              </w:rPr>
              <w:t>‑</w:t>
            </w:r>
            <w:r w:rsidRPr="00A41EED">
              <w:rPr>
                <w:rFonts w:ascii="Arial" w:hAnsi="Arial" w:eastAsia="Times New Roman" w:cs="Arial"/>
                <w:lang w:val="en-GB" w:eastAsia="en-GB"/>
              </w:rPr>
              <w:t>based exceptionality where evidence supports it. Accessible communication may be required for patients with limited English proficiency.</w:t>
            </w:r>
          </w:p>
          <w:p w:rsidRPr="00A41EED" w:rsidR="00A41EED" w:rsidP="00A41EED" w:rsidRDefault="00A41EED" w14:paraId="4688D6A1" w14:textId="0B9B6E08">
            <w:pPr>
              <w:spacing w:after="0" w:line="240" w:lineRule="auto"/>
              <w:rPr>
                <w:rFonts w:ascii="Arial" w:hAnsi="Arial" w:eastAsia="Times New Roman" w:cs="Arial"/>
                <w:lang w:val="en-GB" w:eastAsia="en-GB"/>
              </w:rPr>
            </w:pPr>
            <w:r w:rsidRPr="00A41EED">
              <w:rPr>
                <w:rFonts w:ascii="Arial" w:hAnsi="Arial" w:eastAsia="Times New Roman" w:cs="Arial"/>
                <w:lang w:val="en-GB" w:eastAsia="en-GB"/>
              </w:rPr>
              <w:t>Impact: Low risk / Neutral with mitigations</w:t>
            </w:r>
            <w:r w:rsidR="00915539">
              <w:rPr>
                <w:rFonts w:ascii="Arial" w:hAnsi="Arial" w:eastAsia="Times New Roman" w:cs="Arial"/>
                <w:lang w:val="en-GB" w:eastAsia="en-GB"/>
              </w:rPr>
              <w:t>.</w:t>
            </w:r>
          </w:p>
        </w:tc>
      </w:tr>
      <w:tr w:rsidRPr="00A41EED" w:rsidR="00A41EED" w:rsidTr="00F87104" w14:paraId="77C95E31" w14:textId="77777777">
        <w:tc>
          <w:tcPr>
            <w:tcW w:w="552" w:type="dxa"/>
            <w:vAlign w:val="center"/>
            <w:hideMark/>
          </w:tcPr>
          <w:p w:rsidRPr="00A41EED" w:rsidR="00A41EED" w:rsidP="00A41EED" w:rsidRDefault="00A41EED" w14:paraId="05856687" w14:textId="77777777">
            <w:pPr>
              <w:spacing w:after="0" w:line="240" w:lineRule="auto"/>
              <w:rPr>
                <w:rFonts w:ascii="Arial" w:hAnsi="Arial" w:eastAsia="Times New Roman" w:cs="Arial"/>
                <w:b/>
                <w:bCs/>
                <w:lang w:val="en-GB" w:eastAsia="en-GB"/>
              </w:rPr>
            </w:pPr>
            <w:r w:rsidRPr="00A41EED">
              <w:rPr>
                <w:rFonts w:ascii="Arial" w:hAnsi="Arial" w:eastAsia="Times New Roman" w:cs="Arial"/>
                <w:b/>
                <w:bCs/>
                <w:lang w:val="en-GB" w:eastAsia="en-GB"/>
              </w:rPr>
              <w:t>Religion or belief</w:t>
            </w:r>
          </w:p>
        </w:tc>
        <w:tc>
          <w:tcPr>
            <w:tcW w:w="8444" w:type="dxa"/>
            <w:vAlign w:val="center"/>
            <w:hideMark/>
          </w:tcPr>
          <w:p w:rsidRPr="00A41EED" w:rsidR="00A41EED" w:rsidP="00A41EED" w:rsidRDefault="00A41EED" w14:paraId="69BB062F" w14:textId="77777777">
            <w:pPr>
              <w:spacing w:after="0" w:line="240" w:lineRule="auto"/>
              <w:rPr>
                <w:rFonts w:ascii="Arial" w:hAnsi="Arial" w:eastAsia="Times New Roman" w:cs="Arial"/>
                <w:lang w:val="en-GB" w:eastAsia="en-GB"/>
              </w:rPr>
            </w:pPr>
            <w:r w:rsidRPr="00A41EED">
              <w:rPr>
                <w:rFonts w:ascii="Arial" w:hAnsi="Arial" w:eastAsia="Times New Roman" w:cs="Arial"/>
                <w:lang w:val="en-GB" w:eastAsia="en-GB"/>
              </w:rPr>
              <w:t>No negative impact identified. Some treatments may conflict with religious beliefs, but IFR decisions are based on clinical need; alternative treatments are considered through routine pathways.</w:t>
            </w:r>
          </w:p>
          <w:p w:rsidRPr="00A41EED" w:rsidR="00A41EED" w:rsidP="00A41EED" w:rsidRDefault="00A41EED" w14:paraId="46E91B4E" w14:textId="297842AF">
            <w:pPr>
              <w:spacing w:after="0" w:line="240" w:lineRule="auto"/>
              <w:rPr>
                <w:rFonts w:ascii="Arial" w:hAnsi="Arial" w:eastAsia="Times New Roman" w:cs="Arial"/>
                <w:lang w:val="en-GB" w:eastAsia="en-GB"/>
              </w:rPr>
            </w:pPr>
            <w:r w:rsidRPr="00A41EED">
              <w:rPr>
                <w:rFonts w:ascii="Arial" w:hAnsi="Arial" w:eastAsia="Times New Roman" w:cs="Arial"/>
                <w:lang w:val="en-GB" w:eastAsia="en-GB"/>
              </w:rPr>
              <w:t>Impact: Neutral</w:t>
            </w:r>
            <w:r w:rsidR="00915539">
              <w:rPr>
                <w:rFonts w:ascii="Arial" w:hAnsi="Arial" w:eastAsia="Times New Roman" w:cs="Arial"/>
                <w:lang w:val="en-GB" w:eastAsia="en-GB"/>
              </w:rPr>
              <w:t>.</w:t>
            </w:r>
          </w:p>
        </w:tc>
      </w:tr>
      <w:tr w:rsidRPr="00A41EED" w:rsidR="00A41EED" w:rsidTr="00F87104" w14:paraId="0D16160E" w14:textId="77777777">
        <w:tc>
          <w:tcPr>
            <w:tcW w:w="552" w:type="dxa"/>
            <w:vAlign w:val="center"/>
            <w:hideMark/>
          </w:tcPr>
          <w:p w:rsidRPr="00A41EED" w:rsidR="00A41EED" w:rsidP="00A41EED" w:rsidRDefault="00A41EED" w14:paraId="032F7C5C" w14:textId="77777777">
            <w:pPr>
              <w:spacing w:after="0" w:line="240" w:lineRule="auto"/>
              <w:rPr>
                <w:rFonts w:ascii="Arial" w:hAnsi="Arial" w:eastAsia="Times New Roman" w:cs="Arial"/>
                <w:lang w:val="en-GB" w:eastAsia="en-GB"/>
              </w:rPr>
            </w:pPr>
            <w:r w:rsidRPr="00A41EED">
              <w:rPr>
                <w:rFonts w:ascii="Arial" w:hAnsi="Arial" w:eastAsia="Times New Roman" w:cs="Arial"/>
                <w:b/>
                <w:bCs/>
                <w:lang w:val="en-GB" w:eastAsia="en-GB"/>
              </w:rPr>
              <w:t>Sexual orientation</w:t>
            </w:r>
          </w:p>
        </w:tc>
        <w:tc>
          <w:tcPr>
            <w:tcW w:w="8444" w:type="dxa"/>
            <w:vAlign w:val="center"/>
            <w:hideMark/>
          </w:tcPr>
          <w:p w:rsidRPr="00A41EED" w:rsidR="00A41EED" w:rsidP="00A41EED" w:rsidRDefault="00A41EED" w14:paraId="4FC280F4" w14:textId="77777777">
            <w:pPr>
              <w:spacing w:after="0" w:line="240" w:lineRule="auto"/>
              <w:rPr>
                <w:rFonts w:ascii="Arial" w:hAnsi="Arial" w:eastAsia="Times New Roman" w:cs="Arial"/>
                <w:lang w:val="en-GB" w:eastAsia="en-GB"/>
              </w:rPr>
            </w:pPr>
            <w:r w:rsidRPr="00A41EED">
              <w:rPr>
                <w:rFonts w:ascii="Arial" w:hAnsi="Arial" w:eastAsia="Times New Roman" w:cs="Arial"/>
                <w:lang w:val="en-GB" w:eastAsia="en-GB"/>
              </w:rPr>
              <w:t>No differential impact identified.</w:t>
            </w:r>
          </w:p>
          <w:p w:rsidRPr="00A41EED" w:rsidR="00A41EED" w:rsidP="00A41EED" w:rsidRDefault="00A41EED" w14:paraId="73D9FEEF" w14:textId="277DD4E1">
            <w:pPr>
              <w:spacing w:after="0" w:line="240" w:lineRule="auto"/>
              <w:rPr>
                <w:rFonts w:ascii="Arial" w:hAnsi="Arial" w:eastAsia="Times New Roman" w:cs="Arial"/>
                <w:lang w:val="en-GB" w:eastAsia="en-GB"/>
              </w:rPr>
            </w:pPr>
            <w:r w:rsidRPr="00A41EED">
              <w:rPr>
                <w:rFonts w:ascii="Arial" w:hAnsi="Arial" w:eastAsia="Times New Roman" w:cs="Arial"/>
                <w:lang w:val="en-GB" w:eastAsia="en-GB"/>
              </w:rPr>
              <w:t>Impact: Neutral</w:t>
            </w:r>
            <w:r w:rsidR="00915539">
              <w:rPr>
                <w:rFonts w:ascii="Arial" w:hAnsi="Arial" w:eastAsia="Times New Roman" w:cs="Arial"/>
                <w:lang w:val="en-GB" w:eastAsia="en-GB"/>
              </w:rPr>
              <w:t>.</w:t>
            </w:r>
          </w:p>
        </w:tc>
      </w:tr>
      <w:tr w:rsidRPr="00A41EED" w:rsidR="00A41EED" w:rsidTr="00F87104" w14:paraId="6F6E9D05" w14:textId="77777777">
        <w:tc>
          <w:tcPr>
            <w:tcW w:w="552" w:type="dxa"/>
            <w:vAlign w:val="center"/>
            <w:hideMark/>
          </w:tcPr>
          <w:p w:rsidRPr="00A41EED" w:rsidR="00A41EED" w:rsidP="00A41EED" w:rsidRDefault="00A41EED" w14:paraId="2358DB0C" w14:textId="77777777">
            <w:pPr>
              <w:spacing w:after="0" w:line="240" w:lineRule="auto"/>
              <w:rPr>
                <w:rFonts w:ascii="Arial" w:hAnsi="Arial" w:eastAsia="Times New Roman" w:cs="Arial"/>
                <w:lang w:val="en-GB" w:eastAsia="en-GB"/>
              </w:rPr>
            </w:pPr>
            <w:r w:rsidRPr="00A41EED">
              <w:rPr>
                <w:rFonts w:ascii="Arial" w:hAnsi="Arial" w:eastAsia="Times New Roman" w:cs="Arial"/>
                <w:b/>
                <w:bCs/>
                <w:lang w:val="en-GB" w:eastAsia="en-GB"/>
              </w:rPr>
              <w:t>Marriage and civil partnership</w:t>
            </w:r>
          </w:p>
        </w:tc>
        <w:tc>
          <w:tcPr>
            <w:tcW w:w="8444" w:type="dxa"/>
            <w:vAlign w:val="center"/>
            <w:hideMark/>
          </w:tcPr>
          <w:p w:rsidRPr="00A41EED" w:rsidR="00A41EED" w:rsidP="00A41EED" w:rsidRDefault="00A41EED" w14:paraId="22D82B89" w14:textId="77777777">
            <w:pPr>
              <w:spacing w:after="0" w:line="240" w:lineRule="auto"/>
              <w:rPr>
                <w:rFonts w:ascii="Arial" w:hAnsi="Arial" w:eastAsia="Times New Roman" w:cs="Arial"/>
                <w:lang w:val="en-GB" w:eastAsia="en-GB"/>
              </w:rPr>
            </w:pPr>
            <w:r w:rsidRPr="00A41EED">
              <w:rPr>
                <w:rFonts w:ascii="Arial" w:hAnsi="Arial" w:eastAsia="Times New Roman" w:cs="Arial"/>
                <w:lang w:val="en-GB" w:eastAsia="en-GB"/>
              </w:rPr>
              <w:t>No differential impact identified.</w:t>
            </w:r>
          </w:p>
          <w:p w:rsidRPr="00A41EED" w:rsidR="00A41EED" w:rsidP="00A41EED" w:rsidRDefault="00A41EED" w14:paraId="5A0AE7E2" w14:textId="63B6237B">
            <w:pPr>
              <w:spacing w:after="0" w:line="240" w:lineRule="auto"/>
              <w:rPr>
                <w:rFonts w:ascii="Arial" w:hAnsi="Arial" w:eastAsia="Times New Roman" w:cs="Arial"/>
                <w:lang w:val="en-GB" w:eastAsia="en-GB"/>
              </w:rPr>
            </w:pPr>
            <w:r w:rsidRPr="00A41EED">
              <w:rPr>
                <w:rFonts w:ascii="Arial" w:hAnsi="Arial" w:eastAsia="Times New Roman" w:cs="Arial"/>
                <w:lang w:val="en-GB" w:eastAsia="en-GB"/>
              </w:rPr>
              <w:t>Impact: Neutral</w:t>
            </w:r>
            <w:r w:rsidR="00915539">
              <w:rPr>
                <w:rFonts w:ascii="Arial" w:hAnsi="Arial" w:eastAsia="Times New Roman" w:cs="Arial"/>
                <w:lang w:val="en-GB" w:eastAsia="en-GB"/>
              </w:rPr>
              <w:t>.</w:t>
            </w:r>
          </w:p>
        </w:tc>
      </w:tr>
      <w:tr w:rsidRPr="00A41EED" w:rsidR="00A41EED" w:rsidTr="00A41EED" w14:paraId="4112BBCF" w14:textId="77777777">
        <w:tc>
          <w:tcPr>
            <w:tcW w:w="0" w:type="auto"/>
            <w:gridSpan w:val="2"/>
            <w:shd w:val="clear" w:color="auto" w:fill="CAEDFB"/>
            <w:vAlign w:val="center"/>
          </w:tcPr>
          <w:p w:rsidRPr="00A41EED" w:rsidR="00A41EED" w:rsidP="00A41EED" w:rsidRDefault="00A41EED" w14:paraId="018AB372" w14:textId="77777777">
            <w:pPr>
              <w:spacing w:after="0" w:line="240" w:lineRule="auto"/>
              <w:rPr>
                <w:rFonts w:ascii="Arial" w:hAnsi="Arial" w:eastAsia="Times New Roman" w:cs="Arial"/>
                <w:lang w:val="en-GB" w:eastAsia="en-GB"/>
              </w:rPr>
            </w:pPr>
            <w:r w:rsidRPr="00A41EED">
              <w:rPr>
                <w:rFonts w:ascii="Arial" w:hAnsi="Arial" w:eastAsia="Times New Roman" w:cs="Arial"/>
                <w:b/>
                <w:bCs/>
                <w:lang w:val="en-GB" w:eastAsia="en-GB"/>
              </w:rPr>
              <w:t>Socio-economic considerations</w:t>
            </w:r>
          </w:p>
        </w:tc>
      </w:tr>
      <w:tr w:rsidRPr="00A41EED" w:rsidR="00A41EED" w:rsidTr="00F87104" w14:paraId="64B540EC" w14:textId="77777777">
        <w:tc>
          <w:tcPr>
            <w:tcW w:w="0" w:type="auto"/>
            <w:gridSpan w:val="2"/>
            <w:vAlign w:val="center"/>
            <w:hideMark/>
          </w:tcPr>
          <w:p w:rsidRPr="00A41EED" w:rsidR="00A41EED" w:rsidP="00A41EED" w:rsidRDefault="00A41EED" w14:paraId="06BBD22A" w14:textId="70BD0689">
            <w:pPr>
              <w:spacing w:after="0" w:line="240" w:lineRule="auto"/>
              <w:rPr>
                <w:rFonts w:ascii="Arial" w:hAnsi="Arial" w:eastAsia="Times New Roman" w:cs="Arial"/>
                <w:lang w:val="en-GB" w:eastAsia="en-GB"/>
              </w:rPr>
            </w:pPr>
            <w:r w:rsidRPr="00A41EED">
              <w:rPr>
                <w:rFonts w:ascii="Arial" w:hAnsi="Arial" w:eastAsia="Times New Roman" w:cs="Arial"/>
                <w:lang w:val="en-GB" w:eastAsia="en-GB"/>
              </w:rPr>
              <w:t>The policy explicitly excludes non</w:t>
            </w:r>
            <w:r w:rsidRPr="00A41EED">
              <w:rPr>
                <w:rFonts w:ascii="Cambria Math" w:hAnsi="Cambria Math" w:eastAsia="Times New Roman" w:cs="Cambria Math"/>
                <w:lang w:val="en-GB" w:eastAsia="en-GB"/>
              </w:rPr>
              <w:t>‑</w:t>
            </w:r>
            <w:r w:rsidRPr="00A41EED">
              <w:rPr>
                <w:rFonts w:ascii="Arial" w:hAnsi="Arial" w:eastAsia="Times New Roman" w:cs="Arial"/>
                <w:lang w:val="en-GB" w:eastAsia="en-GB"/>
              </w:rPr>
              <w:t>clinical and social factors from IFR decision</w:t>
            </w:r>
            <w:r w:rsidRPr="00A41EED">
              <w:rPr>
                <w:rFonts w:ascii="Cambria Math" w:hAnsi="Cambria Math" w:eastAsia="Times New Roman" w:cs="Cambria Math"/>
                <w:lang w:val="en-GB" w:eastAsia="en-GB"/>
              </w:rPr>
              <w:t>‑</w:t>
            </w:r>
            <w:r w:rsidRPr="00A41EED">
              <w:rPr>
                <w:rFonts w:ascii="Arial" w:hAnsi="Arial" w:eastAsia="Times New Roman" w:cs="Arial"/>
                <w:lang w:val="en-GB" w:eastAsia="en-GB"/>
              </w:rPr>
              <w:t>making to ensure fairness. This prevents inequity based on income, employment or personal circumstances. Patients from deprived backgrounds may require additional communication support, but this is addressed operationally.</w:t>
            </w:r>
          </w:p>
          <w:p w:rsidRPr="00A41EED" w:rsidR="00A41EED" w:rsidP="00A41EED" w:rsidRDefault="00A41EED" w14:paraId="6E7A4BA7" w14:textId="75C362F9">
            <w:pPr>
              <w:spacing w:after="0" w:line="240" w:lineRule="auto"/>
              <w:rPr>
                <w:rFonts w:ascii="Arial" w:hAnsi="Arial" w:eastAsia="Times New Roman" w:cs="Arial"/>
                <w:lang w:val="en-GB" w:eastAsia="en-GB"/>
              </w:rPr>
            </w:pPr>
            <w:r w:rsidRPr="00A41EED">
              <w:rPr>
                <w:rFonts w:ascii="Arial" w:hAnsi="Arial" w:eastAsia="Times New Roman" w:cs="Arial"/>
                <w:lang w:val="en-GB" w:eastAsia="en-GB"/>
              </w:rPr>
              <w:t>Impact: Neutral</w:t>
            </w:r>
            <w:r w:rsidR="00915539">
              <w:rPr>
                <w:rFonts w:ascii="Arial" w:hAnsi="Arial" w:eastAsia="Times New Roman" w:cs="Arial"/>
                <w:lang w:val="en-GB" w:eastAsia="en-GB"/>
              </w:rPr>
              <w:t>.</w:t>
            </w:r>
          </w:p>
        </w:tc>
      </w:tr>
      <w:tr w:rsidRPr="00A41EED" w:rsidR="00A41EED" w:rsidTr="00A41EED" w14:paraId="4AFA9F0D" w14:textId="77777777">
        <w:tc>
          <w:tcPr>
            <w:tcW w:w="0" w:type="auto"/>
            <w:gridSpan w:val="2"/>
            <w:shd w:val="clear" w:color="auto" w:fill="CAEDFB"/>
            <w:vAlign w:val="center"/>
          </w:tcPr>
          <w:p w:rsidRPr="00A41EED" w:rsidR="00A41EED" w:rsidP="00A41EED" w:rsidRDefault="00A41EED" w14:paraId="1888964C" w14:textId="77777777">
            <w:pPr>
              <w:spacing w:after="0" w:line="240" w:lineRule="auto"/>
              <w:rPr>
                <w:rFonts w:ascii="Arial" w:hAnsi="Arial" w:eastAsia="Times New Roman" w:cs="Arial"/>
                <w:lang w:val="en-GB" w:eastAsia="en-GB"/>
              </w:rPr>
            </w:pPr>
            <w:r w:rsidRPr="00A41EED">
              <w:rPr>
                <w:rFonts w:ascii="Arial" w:hAnsi="Arial" w:eastAsia="Times New Roman" w:cs="Arial"/>
                <w:b/>
                <w:bCs/>
                <w:lang w:val="en-GB" w:eastAsia="en-GB"/>
              </w:rPr>
              <w:t>Mitigations and safeguards</w:t>
            </w:r>
          </w:p>
        </w:tc>
      </w:tr>
      <w:tr w:rsidRPr="00A41EED" w:rsidR="00A41EED" w:rsidTr="00F87104" w14:paraId="64A508FB" w14:textId="77777777">
        <w:tc>
          <w:tcPr>
            <w:tcW w:w="0" w:type="auto"/>
            <w:gridSpan w:val="2"/>
            <w:vAlign w:val="center"/>
            <w:hideMark/>
          </w:tcPr>
          <w:p w:rsidRPr="00A41EED" w:rsidR="00A41EED" w:rsidP="00A41EED" w:rsidRDefault="00A41EED" w14:paraId="0BB48D78" w14:textId="6142434C">
            <w:pPr>
              <w:spacing w:after="0" w:line="240" w:lineRule="auto"/>
              <w:rPr>
                <w:rFonts w:ascii="Arial" w:hAnsi="Arial" w:eastAsia="Times New Roman" w:cs="Arial"/>
                <w:lang w:val="en-GB" w:eastAsia="en-GB"/>
              </w:rPr>
            </w:pPr>
            <w:r w:rsidRPr="00A41EED">
              <w:rPr>
                <w:rFonts w:ascii="Arial" w:hAnsi="Arial" w:eastAsia="Times New Roman" w:cs="Arial"/>
                <w:lang w:val="en-GB" w:eastAsia="en-GB"/>
              </w:rPr>
              <w:t>• Accessible formats and interpreting services available for patient communication</w:t>
            </w:r>
            <w:r w:rsidR="00915539">
              <w:rPr>
                <w:rFonts w:ascii="Arial" w:hAnsi="Arial" w:eastAsia="Times New Roman" w:cs="Arial"/>
                <w:lang w:val="en-GB" w:eastAsia="en-GB"/>
              </w:rPr>
              <w:t>.</w:t>
            </w:r>
          </w:p>
          <w:p w:rsidRPr="00A41EED" w:rsidR="00A41EED" w:rsidP="00A41EED" w:rsidRDefault="00A41EED" w14:paraId="28A3DC9B" w14:textId="235EB472">
            <w:pPr>
              <w:spacing w:after="0" w:line="240" w:lineRule="auto"/>
              <w:rPr>
                <w:rFonts w:ascii="Arial" w:hAnsi="Arial" w:eastAsia="Times New Roman" w:cs="Arial"/>
                <w:lang w:val="en-GB" w:eastAsia="en-GB"/>
              </w:rPr>
            </w:pPr>
            <w:r w:rsidRPr="00A41EED">
              <w:rPr>
                <w:rFonts w:ascii="Arial" w:hAnsi="Arial" w:eastAsia="Times New Roman" w:cs="Arial"/>
                <w:lang w:val="en-GB" w:eastAsia="en-GB"/>
              </w:rPr>
              <w:t>• Specialist clinical input (paediatrics, public health, pharmacy) available to support equitable decision</w:t>
            </w:r>
            <w:r w:rsidRPr="00A41EED">
              <w:rPr>
                <w:rFonts w:ascii="Cambria Math" w:hAnsi="Cambria Math" w:eastAsia="Times New Roman" w:cs="Cambria Math"/>
                <w:lang w:val="en-GB" w:eastAsia="en-GB"/>
              </w:rPr>
              <w:t>‑</w:t>
            </w:r>
            <w:r w:rsidRPr="00A41EED">
              <w:rPr>
                <w:rFonts w:ascii="Arial" w:hAnsi="Arial" w:eastAsia="Times New Roman" w:cs="Arial"/>
                <w:lang w:val="en-GB" w:eastAsia="en-GB"/>
              </w:rPr>
              <w:t>making</w:t>
            </w:r>
            <w:r w:rsidR="00915539">
              <w:rPr>
                <w:rFonts w:ascii="Arial" w:hAnsi="Arial" w:eastAsia="Times New Roman" w:cs="Arial"/>
                <w:lang w:val="en-GB" w:eastAsia="en-GB"/>
              </w:rPr>
              <w:t>.</w:t>
            </w:r>
          </w:p>
          <w:p w:rsidRPr="00A41EED" w:rsidR="00A41EED" w:rsidP="00A41EED" w:rsidRDefault="00A41EED" w14:paraId="31530000" w14:textId="494CB1A3">
            <w:pPr>
              <w:spacing w:after="0" w:line="240" w:lineRule="auto"/>
              <w:rPr>
                <w:rFonts w:ascii="Arial" w:hAnsi="Arial" w:eastAsia="Times New Roman" w:cs="Arial"/>
                <w:lang w:val="en-GB" w:eastAsia="en-GB"/>
              </w:rPr>
            </w:pPr>
            <w:r w:rsidRPr="00A41EED">
              <w:rPr>
                <w:rFonts w:ascii="Arial" w:hAnsi="Arial" w:eastAsia="Times New Roman" w:cs="Arial"/>
                <w:lang w:val="en-GB" w:eastAsia="en-GB"/>
              </w:rPr>
              <w:t>• Annual monitoring of IFR outcomes to identify any unintended disparities</w:t>
            </w:r>
            <w:r w:rsidR="00915539">
              <w:rPr>
                <w:rFonts w:ascii="Arial" w:hAnsi="Arial" w:eastAsia="Times New Roman" w:cs="Arial"/>
                <w:lang w:val="en-GB" w:eastAsia="en-GB"/>
              </w:rPr>
              <w:t>.</w:t>
            </w:r>
          </w:p>
          <w:p w:rsidRPr="00A41EED" w:rsidR="00A41EED" w:rsidP="00A41EED" w:rsidRDefault="00A41EED" w14:paraId="5833C3BC" w14:textId="0BCD11FE">
            <w:pPr>
              <w:spacing w:after="0" w:line="240" w:lineRule="auto"/>
              <w:rPr>
                <w:rFonts w:ascii="Arial" w:hAnsi="Arial" w:eastAsia="Times New Roman" w:cs="Arial"/>
                <w:lang w:val="en-GB" w:eastAsia="en-GB"/>
              </w:rPr>
            </w:pPr>
            <w:r w:rsidRPr="00A41EED">
              <w:rPr>
                <w:rFonts w:ascii="Arial" w:hAnsi="Arial" w:eastAsia="Times New Roman" w:cs="Arial"/>
                <w:lang w:val="en-GB" w:eastAsia="en-GB"/>
              </w:rPr>
              <w:t>• Clear separation of clinical and non</w:t>
            </w:r>
            <w:r w:rsidRPr="00A41EED">
              <w:rPr>
                <w:rFonts w:ascii="Cambria Math" w:hAnsi="Cambria Math" w:eastAsia="Times New Roman" w:cs="Cambria Math"/>
                <w:lang w:val="en-GB" w:eastAsia="en-GB"/>
              </w:rPr>
              <w:t>‑</w:t>
            </w:r>
            <w:r w:rsidRPr="00A41EED">
              <w:rPr>
                <w:rFonts w:ascii="Arial" w:hAnsi="Arial" w:eastAsia="Times New Roman" w:cs="Arial"/>
                <w:lang w:val="en-GB" w:eastAsia="en-GB"/>
              </w:rPr>
              <w:t>clinical factors to prevent discrimination</w:t>
            </w:r>
            <w:r w:rsidR="00915539">
              <w:rPr>
                <w:rFonts w:ascii="Arial" w:hAnsi="Arial" w:eastAsia="Times New Roman" w:cs="Arial"/>
                <w:lang w:val="en-GB" w:eastAsia="en-GB"/>
              </w:rPr>
              <w:t>.</w:t>
            </w:r>
          </w:p>
          <w:p w:rsidRPr="00A41EED" w:rsidR="00A41EED" w:rsidP="00A41EED" w:rsidRDefault="00A41EED" w14:paraId="54E8E4ED" w14:textId="358EE218">
            <w:pPr>
              <w:spacing w:after="0" w:line="240" w:lineRule="auto"/>
              <w:rPr>
                <w:rFonts w:ascii="Arial" w:hAnsi="Arial" w:eastAsia="Times New Roman" w:cs="Arial"/>
                <w:lang w:val="en-GB" w:eastAsia="en-GB"/>
              </w:rPr>
            </w:pPr>
            <w:r w:rsidRPr="00A41EED">
              <w:rPr>
                <w:rFonts w:ascii="Arial" w:hAnsi="Arial" w:eastAsia="Times New Roman" w:cs="Arial"/>
                <w:lang w:val="en-GB" w:eastAsia="en-GB"/>
              </w:rPr>
              <w:t>• Appeals process available where new clinical information emerges</w:t>
            </w:r>
            <w:r w:rsidR="00915539">
              <w:rPr>
                <w:rFonts w:ascii="Arial" w:hAnsi="Arial" w:eastAsia="Times New Roman" w:cs="Arial"/>
                <w:lang w:val="en-GB" w:eastAsia="en-GB"/>
              </w:rPr>
              <w:t>.</w:t>
            </w:r>
          </w:p>
          <w:p w:rsidRPr="00A41EED" w:rsidR="00A41EED" w:rsidP="00A41EED" w:rsidRDefault="00A41EED" w14:paraId="05A34BF1" w14:textId="77777777">
            <w:pPr>
              <w:spacing w:after="0" w:line="240" w:lineRule="auto"/>
              <w:rPr>
                <w:rFonts w:ascii="Arial" w:hAnsi="Arial" w:eastAsia="Times New Roman" w:cs="Arial"/>
                <w:lang w:val="en-GB" w:eastAsia="en-GB"/>
              </w:rPr>
            </w:pPr>
          </w:p>
        </w:tc>
      </w:tr>
      <w:tr w:rsidRPr="00A41EED" w:rsidR="00A41EED" w:rsidTr="00A41EED" w14:paraId="52A16BA6" w14:textId="77777777">
        <w:tc>
          <w:tcPr>
            <w:tcW w:w="0" w:type="auto"/>
            <w:gridSpan w:val="2"/>
            <w:shd w:val="clear" w:color="auto" w:fill="C1E4F5"/>
            <w:vAlign w:val="center"/>
          </w:tcPr>
          <w:p w:rsidRPr="00A41EED" w:rsidR="00A41EED" w:rsidP="00A41EED" w:rsidRDefault="00A41EED" w14:paraId="2A567A60" w14:textId="77777777">
            <w:pPr>
              <w:spacing w:after="0" w:line="240" w:lineRule="auto"/>
              <w:rPr>
                <w:rFonts w:ascii="Arial" w:hAnsi="Arial" w:eastAsia="Times New Roman" w:cs="Arial"/>
                <w:lang w:val="en-GB" w:eastAsia="en-GB"/>
              </w:rPr>
            </w:pPr>
            <w:r w:rsidRPr="00A41EED">
              <w:rPr>
                <w:rFonts w:ascii="Arial" w:hAnsi="Arial" w:eastAsia="Times New Roman" w:cs="Arial"/>
                <w:b/>
                <w:bCs/>
                <w:lang w:val="en-GB" w:eastAsia="en-GB"/>
              </w:rPr>
              <w:t>Conclusion</w:t>
            </w:r>
          </w:p>
        </w:tc>
      </w:tr>
      <w:tr w:rsidRPr="00A41EED" w:rsidR="00A41EED" w:rsidTr="00A41EED" w14:paraId="58265E47" w14:textId="77777777">
        <w:tc>
          <w:tcPr>
            <w:tcW w:w="0" w:type="auto"/>
            <w:gridSpan w:val="2"/>
            <w:shd w:val="clear" w:color="auto" w:fill="FFFFFF"/>
            <w:vAlign w:val="center"/>
            <w:hideMark/>
          </w:tcPr>
          <w:p w:rsidRPr="00A41EED" w:rsidR="00A41EED" w:rsidP="00A41EED" w:rsidRDefault="00A41EED" w14:paraId="15AB90AE" w14:textId="77777777">
            <w:pPr>
              <w:spacing w:after="0" w:line="240" w:lineRule="auto"/>
              <w:rPr>
                <w:rFonts w:ascii="Arial" w:hAnsi="Arial" w:eastAsia="Times New Roman" w:cs="Arial"/>
                <w:lang w:val="en-GB" w:eastAsia="en-GB"/>
              </w:rPr>
            </w:pPr>
            <w:r w:rsidRPr="00A41EED">
              <w:rPr>
                <w:rFonts w:ascii="Arial" w:hAnsi="Arial" w:eastAsia="Times New Roman" w:cs="Arial"/>
                <w:lang w:val="en-GB" w:eastAsia="en-GB"/>
              </w:rPr>
              <w:t>The unified IFR Policy is compliant with the Equality Act 2010 and the Public Sector Equality Duty. No protected group is disadvantaged by the policy. The policy strengthens fairness by harmonising legacy approaches and ensuring decisions are based solely on clinical need, clinical effectiveness, and good use of NHS resources. With the mitigations in place, the overall equality impact is assessed as low.</w:t>
            </w:r>
          </w:p>
          <w:p w:rsidRPr="00A41EED" w:rsidR="00A41EED" w:rsidP="00A41EED" w:rsidRDefault="00A41EED" w14:paraId="71DA20B9" w14:textId="77777777">
            <w:pPr>
              <w:spacing w:after="0" w:line="240" w:lineRule="auto"/>
              <w:rPr>
                <w:rFonts w:ascii="Arial" w:hAnsi="Arial" w:eastAsia="Times New Roman" w:cs="Arial"/>
                <w:lang w:val="en-GB" w:eastAsia="en-GB"/>
              </w:rPr>
            </w:pPr>
          </w:p>
        </w:tc>
      </w:tr>
    </w:tbl>
    <w:p w:rsidRPr="00A41EED" w:rsidR="00A41EED" w:rsidP="00A41EED" w:rsidRDefault="00A41EED" w14:paraId="52FBBA69" w14:textId="77777777">
      <w:pPr>
        <w:spacing w:after="160" w:line="259" w:lineRule="auto"/>
        <w:rPr>
          <w:rFonts w:ascii="Aptos" w:hAnsi="Aptos" w:eastAsia="Aptos" w:cs="Arial"/>
          <w:kern w:val="2"/>
          <w:lang w:val="en-GB"/>
          <w14:ligatures w14:val="standardContextual"/>
        </w:rPr>
      </w:pPr>
    </w:p>
    <w:p w:rsidRPr="007A7874" w:rsidR="00A41EED" w:rsidP="007A7874" w:rsidRDefault="00A41EED" w14:paraId="6ADCE04C" w14:textId="77777777">
      <w:pPr>
        <w:rPr>
          <w:rFonts w:ascii="Arial" w:hAnsi="Arial" w:cs="Arial"/>
        </w:rPr>
      </w:pPr>
    </w:p>
    <w:sectPr w:rsidRPr="007A7874" w:rsidR="00A41EED" w:rsidSect="00B615CF">
      <w:headerReference w:type="even" r:id="rId26"/>
      <w:headerReference w:type="default" r:id="rId27"/>
      <w:footerReference w:type="even" r:id="rId28"/>
      <w:footerReference w:type="default" r:id="rId29"/>
      <w:headerReference w:type="first" r:id="rId30"/>
      <w:footerReference w:type="first" r:id="rId31"/>
      <w:pgSz w:w="12240" w:h="15840" w:orient="portrait"/>
      <w:pgMar w:top="1440" w:right="1080" w:bottom="1440" w:left="1080" w:header="0"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25D1" w:rsidP="00C600D7" w:rsidRDefault="00B925D1" w14:paraId="15CD8741" w14:textId="77777777">
      <w:pPr>
        <w:spacing w:after="0" w:line="240" w:lineRule="auto"/>
      </w:pPr>
      <w:r>
        <w:separator/>
      </w:r>
    </w:p>
  </w:endnote>
  <w:endnote w:type="continuationSeparator" w:id="0">
    <w:p w:rsidR="00B925D1" w:rsidP="00C600D7" w:rsidRDefault="00B925D1" w14:paraId="5EDB83E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0D7" w:rsidRDefault="00C600D7" w14:paraId="0CABA8E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4F81BD" w:themeColor="accent1"/>
        <w:sz w:val="16"/>
        <w:szCs w:val="16"/>
      </w:rPr>
      <w:id w:val="156506348"/>
      <w:docPartObj>
        <w:docPartGallery w:val="Page Numbers (Bottom of Page)"/>
        <w:docPartUnique/>
      </w:docPartObj>
    </w:sdtPr>
    <w:sdtEndPr>
      <w:rPr>
        <w:rFonts w:ascii="Arial" w:hAnsi="Arial" w:cs="Arial"/>
        <w:color w:val="4F80BD" w:themeColor="accent1" w:themeTint="FF" w:themeShade="FF"/>
        <w:sz w:val="16"/>
        <w:szCs w:val="16"/>
      </w:rPr>
    </w:sdtEndPr>
    <w:sdtContent>
      <w:sdt>
        <w:sdtPr>
          <w:rPr>
            <w:rFonts w:ascii="Arial" w:hAnsi="Arial" w:cs="Arial"/>
            <w:color w:val="4F81BD" w:themeColor="accent1"/>
            <w:sz w:val="16"/>
            <w:szCs w:val="16"/>
          </w:rPr>
          <w:id w:val="-1705238520"/>
          <w:docPartObj>
            <w:docPartGallery w:val="Page Numbers (Top of Page)"/>
            <w:docPartUnique/>
          </w:docPartObj>
        </w:sdtPr>
        <w:sdtEndPr>
          <w:rPr>
            <w:rFonts w:ascii="Arial" w:hAnsi="Arial" w:cs="Arial"/>
            <w:color w:val="4F80BD" w:themeColor="accent1" w:themeTint="FF" w:themeShade="FF"/>
            <w:sz w:val="16"/>
            <w:szCs w:val="16"/>
          </w:rPr>
        </w:sdtEndPr>
        <w:sdtContent>
          <w:p w:rsidR="002546D2" w:rsidP="002546D2" w:rsidRDefault="002546D2" w14:paraId="5B0D8E6F" w14:textId="77777777">
            <w:pPr>
              <w:pStyle w:val="Footer"/>
              <w:rPr>
                <w:rFonts w:ascii="Arial" w:hAnsi="Arial" w:cs="Arial"/>
                <w:color w:val="4F81BD" w:themeColor="accent1"/>
                <w:sz w:val="16"/>
                <w:szCs w:val="16"/>
              </w:rPr>
            </w:pPr>
          </w:p>
          <w:p w:rsidRPr="00AD3981" w:rsidR="002546D2" w:rsidP="002546D2" w:rsidRDefault="002546D2" w14:paraId="66991235" w14:textId="3F2A766A">
            <w:pPr>
              <w:pStyle w:val="Footer"/>
              <w:rPr>
                <w:rFonts w:ascii="Arial" w:hAnsi="Arial" w:cs="Arial"/>
                <w:b/>
                <w:bCs/>
                <w:color w:val="4F81BD" w:themeColor="accent1"/>
                <w:sz w:val="16"/>
                <w:szCs w:val="16"/>
              </w:rPr>
            </w:pPr>
            <w:r w:rsidRPr="00AD3981">
              <w:rPr>
                <w:rFonts w:ascii="Arial" w:hAnsi="Arial" w:cs="Arial"/>
                <w:b/>
                <w:bCs/>
                <w:color w:val="4F81BD" w:themeColor="accent1"/>
                <w:sz w:val="16"/>
                <w:szCs w:val="16"/>
              </w:rPr>
              <w:t>Central East Integrated Care Board</w:t>
            </w:r>
          </w:p>
          <w:p w:rsidRPr="00CA5E68" w:rsidR="00CA5E68" w:rsidRDefault="00AD3981" w14:paraId="1406F942" w14:textId="0D1BF2B6">
            <w:pPr>
              <w:pStyle w:val="Footer"/>
              <w:rPr>
                <w:rFonts w:ascii="Arial" w:hAnsi="Arial" w:cs="Arial"/>
                <w:color w:val="4F81BD" w:themeColor="accent1"/>
                <w:sz w:val="16"/>
                <w:szCs w:val="16"/>
              </w:rPr>
            </w:pPr>
            <w:r>
              <w:rPr>
                <w:rFonts w:ascii="Arial" w:hAnsi="Arial" w:cs="Arial"/>
                <w:color w:val="4F81BD" w:themeColor="accent1"/>
                <w:sz w:val="16"/>
                <w:szCs w:val="16"/>
              </w:rPr>
              <w:t xml:space="preserve">Exceptional Cases and </w:t>
            </w:r>
            <w:r w:rsidRPr="00AD3981">
              <w:rPr>
                <w:rFonts w:ascii="Arial" w:hAnsi="Arial" w:cs="Arial"/>
                <w:color w:val="4F81BD" w:themeColor="accent1"/>
                <w:sz w:val="16"/>
                <w:szCs w:val="16"/>
              </w:rPr>
              <w:t>Individual Funding Requests</w:t>
            </w:r>
            <w:r>
              <w:rPr>
                <w:rFonts w:ascii="Arial" w:hAnsi="Arial" w:cs="Arial"/>
                <w:color w:val="4F81BD" w:themeColor="accent1"/>
                <w:sz w:val="16"/>
                <w:szCs w:val="16"/>
              </w:rPr>
              <w:t xml:space="preserve"> </w:t>
            </w:r>
            <w:r w:rsidRPr="00AD3981">
              <w:rPr>
                <w:rFonts w:ascii="Arial" w:hAnsi="Arial" w:cs="Arial"/>
                <w:color w:val="4F81BD" w:themeColor="accent1"/>
                <w:sz w:val="16"/>
                <w:szCs w:val="16"/>
              </w:rPr>
              <w:t xml:space="preserve">Policy </w:t>
            </w:r>
            <w:r>
              <w:rPr>
                <w:rFonts w:ascii="Arial" w:hAnsi="Arial" w:cs="Arial"/>
                <w:color w:val="4F81BD" w:themeColor="accent1"/>
                <w:sz w:val="16"/>
                <w:szCs w:val="16"/>
              </w:rPr>
              <w:t>v1.0</w:t>
            </w:r>
            <w:r w:rsidR="002546D2">
              <w:rPr>
                <w:rFonts w:ascii="Arial" w:hAnsi="Arial" w:cs="Arial"/>
                <w:color w:val="4F81BD" w:themeColor="accent1"/>
                <w:sz w:val="16"/>
                <w:szCs w:val="16"/>
              </w:rPr>
              <w:t xml:space="preserve"> </w:t>
            </w:r>
            <w:r>
              <w:rPr>
                <w:rFonts w:ascii="Arial" w:hAnsi="Arial" w:cs="Arial"/>
                <w:color w:val="4F81BD" w:themeColor="accent1"/>
                <w:sz w:val="16"/>
                <w:szCs w:val="16"/>
              </w:rPr>
              <w:t>April 2026</w:t>
            </w:r>
            <w:r w:rsidRPr="00AD3981">
              <w:rPr>
                <w:rFonts w:ascii="Arial" w:hAnsi="Arial" w:cs="Arial"/>
                <w:color w:val="4F81BD" w:themeColor="accent1"/>
                <w:sz w:val="16"/>
                <w:szCs w:val="16"/>
              </w:rPr>
              <w:t xml:space="preserve"> </w:t>
            </w:r>
            <w:r>
              <w:rPr>
                <w:rFonts w:ascii="Arial" w:hAnsi="Arial" w:cs="Arial"/>
                <w:color w:val="4F81BD" w:themeColor="accent1"/>
                <w:sz w:val="16"/>
                <w:szCs w:val="16"/>
              </w:rPr>
              <w:tab/>
            </w:r>
            <w:r w:rsidRPr="00CA5E68" w:rsidR="00CA5E68">
              <w:rPr>
                <w:rFonts w:ascii="Arial" w:hAnsi="Arial" w:cs="Arial"/>
                <w:color w:val="4F81BD" w:themeColor="accent1"/>
                <w:sz w:val="16"/>
                <w:szCs w:val="16"/>
              </w:rPr>
              <w:t xml:space="preserve">Page </w:t>
            </w:r>
            <w:r w:rsidRPr="00CA5E68" w:rsidR="00CA5E68">
              <w:rPr>
                <w:rFonts w:ascii="Arial" w:hAnsi="Arial" w:cs="Arial"/>
                <w:b/>
                <w:bCs/>
                <w:color w:val="4F81BD" w:themeColor="accent1"/>
                <w:sz w:val="16"/>
                <w:szCs w:val="16"/>
              </w:rPr>
              <w:fldChar w:fldCharType="begin"/>
            </w:r>
            <w:r w:rsidRPr="00CA5E68" w:rsidR="00CA5E68">
              <w:rPr>
                <w:rFonts w:ascii="Arial" w:hAnsi="Arial" w:cs="Arial"/>
                <w:b/>
                <w:bCs/>
                <w:color w:val="4F81BD" w:themeColor="accent1"/>
                <w:sz w:val="16"/>
                <w:szCs w:val="16"/>
              </w:rPr>
              <w:instrText xml:space="preserve"> PAGE </w:instrText>
            </w:r>
            <w:r w:rsidRPr="00CA5E68" w:rsidR="00CA5E68">
              <w:rPr>
                <w:rFonts w:ascii="Arial" w:hAnsi="Arial" w:cs="Arial"/>
                <w:b/>
                <w:bCs/>
                <w:color w:val="4F81BD" w:themeColor="accent1"/>
                <w:sz w:val="16"/>
                <w:szCs w:val="16"/>
              </w:rPr>
              <w:fldChar w:fldCharType="separate"/>
            </w:r>
            <w:r w:rsidRPr="00CA5E68" w:rsidR="00CA5E68">
              <w:rPr>
                <w:rFonts w:ascii="Arial" w:hAnsi="Arial" w:cs="Arial"/>
                <w:b/>
                <w:bCs/>
                <w:noProof/>
                <w:color w:val="4F81BD" w:themeColor="accent1"/>
                <w:sz w:val="16"/>
                <w:szCs w:val="16"/>
              </w:rPr>
              <w:t>2</w:t>
            </w:r>
            <w:r w:rsidRPr="00CA5E68" w:rsidR="00CA5E68">
              <w:rPr>
                <w:rFonts w:ascii="Arial" w:hAnsi="Arial" w:cs="Arial"/>
                <w:b/>
                <w:bCs/>
                <w:color w:val="4F81BD" w:themeColor="accent1"/>
                <w:sz w:val="16"/>
                <w:szCs w:val="16"/>
              </w:rPr>
              <w:fldChar w:fldCharType="end"/>
            </w:r>
            <w:r w:rsidRPr="00CA5E68" w:rsidR="00CA5E68">
              <w:rPr>
                <w:rFonts w:ascii="Arial" w:hAnsi="Arial" w:cs="Arial"/>
                <w:color w:val="4F81BD" w:themeColor="accent1"/>
                <w:sz w:val="16"/>
                <w:szCs w:val="16"/>
              </w:rPr>
              <w:t xml:space="preserve"> of </w:t>
            </w:r>
            <w:r w:rsidRPr="00CA5E68" w:rsidR="00CA5E68">
              <w:rPr>
                <w:rFonts w:ascii="Arial" w:hAnsi="Arial" w:cs="Arial"/>
                <w:b/>
                <w:bCs/>
                <w:color w:val="4F81BD" w:themeColor="accent1"/>
                <w:sz w:val="16"/>
                <w:szCs w:val="16"/>
              </w:rPr>
              <w:fldChar w:fldCharType="begin"/>
            </w:r>
            <w:r w:rsidRPr="00CA5E68" w:rsidR="00CA5E68">
              <w:rPr>
                <w:rFonts w:ascii="Arial" w:hAnsi="Arial" w:cs="Arial"/>
                <w:b/>
                <w:bCs/>
                <w:color w:val="4F81BD" w:themeColor="accent1"/>
                <w:sz w:val="16"/>
                <w:szCs w:val="16"/>
              </w:rPr>
              <w:instrText xml:space="preserve"> NUMPAGES  </w:instrText>
            </w:r>
            <w:r w:rsidRPr="00CA5E68" w:rsidR="00CA5E68">
              <w:rPr>
                <w:rFonts w:ascii="Arial" w:hAnsi="Arial" w:cs="Arial"/>
                <w:b/>
                <w:bCs/>
                <w:color w:val="4F81BD" w:themeColor="accent1"/>
                <w:sz w:val="16"/>
                <w:szCs w:val="16"/>
              </w:rPr>
              <w:fldChar w:fldCharType="separate"/>
            </w:r>
            <w:r w:rsidRPr="00CA5E68" w:rsidR="00CA5E68">
              <w:rPr>
                <w:rFonts w:ascii="Arial" w:hAnsi="Arial" w:cs="Arial"/>
                <w:b/>
                <w:bCs/>
                <w:noProof/>
                <w:color w:val="4F81BD" w:themeColor="accent1"/>
                <w:sz w:val="16"/>
                <w:szCs w:val="16"/>
              </w:rPr>
              <w:t>2</w:t>
            </w:r>
            <w:r w:rsidRPr="00CA5E68" w:rsidR="00CA5E68">
              <w:rPr>
                <w:rFonts w:ascii="Arial" w:hAnsi="Arial" w:cs="Arial"/>
                <w:b/>
                <w:bCs/>
                <w:color w:val="4F81BD" w:themeColor="accent1"/>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4F81BD" w:themeColor="accent1"/>
        <w:sz w:val="16"/>
        <w:szCs w:val="16"/>
      </w:rPr>
      <w:id w:val="-604653155"/>
      <w:docPartObj>
        <w:docPartGallery w:val="Page Numbers (Bottom of Page)"/>
        <w:docPartUnique/>
      </w:docPartObj>
    </w:sdtPr>
    <w:sdtEndPr>
      <w:rPr>
        <w:rFonts w:ascii="Arial" w:hAnsi="Arial" w:cs="Arial"/>
        <w:color w:val="4F80BD" w:themeColor="accent1" w:themeTint="FF" w:themeShade="FF"/>
        <w:sz w:val="16"/>
        <w:szCs w:val="16"/>
      </w:rPr>
    </w:sdtEndPr>
    <w:sdtContent>
      <w:sdt>
        <w:sdtPr>
          <w:rPr>
            <w:rFonts w:ascii="Arial" w:hAnsi="Arial" w:cs="Arial"/>
            <w:color w:val="4F81BD" w:themeColor="accent1"/>
            <w:sz w:val="16"/>
            <w:szCs w:val="16"/>
          </w:rPr>
          <w:id w:val="505717188"/>
          <w:docPartObj>
            <w:docPartGallery w:val="Page Numbers (Top of Page)"/>
            <w:docPartUnique/>
          </w:docPartObj>
        </w:sdtPr>
        <w:sdtEndPr>
          <w:rPr>
            <w:rFonts w:ascii="Arial" w:hAnsi="Arial" w:cs="Arial"/>
            <w:color w:val="4F80BD" w:themeColor="accent1" w:themeTint="FF" w:themeShade="FF"/>
            <w:sz w:val="16"/>
            <w:szCs w:val="16"/>
          </w:rPr>
        </w:sdtEndPr>
        <w:sdtContent>
          <w:p w:rsidR="0025210B" w:rsidP="0025210B" w:rsidRDefault="0025210B" w14:paraId="1AD810C4" w14:textId="77777777">
            <w:pPr>
              <w:pStyle w:val="Footer"/>
              <w:rPr>
                <w:rFonts w:ascii="Arial" w:hAnsi="Arial" w:cs="Arial"/>
                <w:color w:val="4F81BD" w:themeColor="accent1"/>
                <w:sz w:val="16"/>
                <w:szCs w:val="16"/>
              </w:rPr>
            </w:pPr>
          </w:p>
          <w:p w:rsidRPr="00AD3981" w:rsidR="0025210B" w:rsidP="0025210B" w:rsidRDefault="00E24B37" w14:paraId="6E07F795" w14:textId="3FE5A61F">
            <w:pPr>
              <w:pStyle w:val="Footer"/>
              <w:rPr>
                <w:rFonts w:ascii="Arial" w:hAnsi="Arial" w:cs="Arial"/>
                <w:b/>
                <w:bCs/>
                <w:color w:val="4F81BD" w:themeColor="accent1"/>
                <w:sz w:val="16"/>
                <w:szCs w:val="16"/>
              </w:rPr>
            </w:pPr>
            <w:r>
              <w:rPr>
                <w:rFonts w:ascii="Arial" w:hAnsi="Arial" w:cs="Arial"/>
                <w:b/>
                <w:bCs/>
                <w:color w:val="4F81BD" w:themeColor="accent1"/>
                <w:sz w:val="16"/>
                <w:szCs w:val="16"/>
              </w:rPr>
              <w:t xml:space="preserve">NHS </w:t>
            </w:r>
            <w:r w:rsidRPr="00AD3981" w:rsidR="0025210B">
              <w:rPr>
                <w:rFonts w:ascii="Arial" w:hAnsi="Arial" w:cs="Arial"/>
                <w:b/>
                <w:bCs/>
                <w:color w:val="4F81BD" w:themeColor="accent1"/>
                <w:sz w:val="16"/>
                <w:szCs w:val="16"/>
              </w:rPr>
              <w:t>Central East Integrated Care Board</w:t>
            </w:r>
          </w:p>
          <w:p w:rsidR="0025210B" w:rsidP="0025210B" w:rsidRDefault="0025210B" w14:paraId="42B1FACD" w14:textId="77777777">
            <w:pPr>
              <w:pStyle w:val="Footer"/>
              <w:rPr>
                <w:rFonts w:ascii="Arial" w:hAnsi="Arial" w:cs="Arial"/>
                <w:color w:val="4F81BD" w:themeColor="accent1"/>
                <w:sz w:val="16"/>
                <w:szCs w:val="16"/>
              </w:rPr>
            </w:pPr>
            <w:r>
              <w:rPr>
                <w:rFonts w:ascii="Arial" w:hAnsi="Arial" w:cs="Arial"/>
                <w:color w:val="4F81BD" w:themeColor="accent1"/>
                <w:sz w:val="16"/>
                <w:szCs w:val="16"/>
              </w:rPr>
              <w:t xml:space="preserve">Exceptional Cases and </w:t>
            </w:r>
            <w:r w:rsidRPr="00AD3981">
              <w:rPr>
                <w:rFonts w:ascii="Arial" w:hAnsi="Arial" w:cs="Arial"/>
                <w:color w:val="4F81BD" w:themeColor="accent1"/>
                <w:sz w:val="16"/>
                <w:szCs w:val="16"/>
              </w:rPr>
              <w:t>Individual Funding Requests</w:t>
            </w:r>
            <w:r>
              <w:rPr>
                <w:rFonts w:ascii="Arial" w:hAnsi="Arial" w:cs="Arial"/>
                <w:color w:val="4F81BD" w:themeColor="accent1"/>
                <w:sz w:val="16"/>
                <w:szCs w:val="16"/>
              </w:rPr>
              <w:t xml:space="preserve"> </w:t>
            </w:r>
            <w:r w:rsidRPr="00AD3981">
              <w:rPr>
                <w:rFonts w:ascii="Arial" w:hAnsi="Arial" w:cs="Arial"/>
                <w:color w:val="4F81BD" w:themeColor="accent1"/>
                <w:sz w:val="16"/>
                <w:szCs w:val="16"/>
              </w:rPr>
              <w:t xml:space="preserve">Policy </w:t>
            </w:r>
            <w:r>
              <w:rPr>
                <w:rFonts w:ascii="Arial" w:hAnsi="Arial" w:cs="Arial"/>
                <w:color w:val="4F81BD" w:themeColor="accent1"/>
                <w:sz w:val="16"/>
                <w:szCs w:val="16"/>
              </w:rPr>
              <w:t>v1.0 April 2026</w:t>
            </w:r>
            <w:r w:rsidRPr="00AD3981">
              <w:rPr>
                <w:rFonts w:ascii="Arial" w:hAnsi="Arial" w:cs="Arial"/>
                <w:color w:val="4F81BD" w:themeColor="accent1"/>
                <w:sz w:val="16"/>
                <w:szCs w:val="16"/>
              </w:rPr>
              <w:t xml:space="preserve"> </w:t>
            </w:r>
            <w:r>
              <w:rPr>
                <w:rFonts w:ascii="Arial" w:hAnsi="Arial" w:cs="Arial"/>
                <w:color w:val="4F81BD" w:themeColor="accent1"/>
                <w:sz w:val="16"/>
                <w:szCs w:val="16"/>
              </w:rPr>
              <w:tab/>
            </w:r>
            <w:r w:rsidRPr="00CA5E68">
              <w:rPr>
                <w:rFonts w:ascii="Arial" w:hAnsi="Arial" w:cs="Arial"/>
                <w:color w:val="4F81BD" w:themeColor="accent1"/>
                <w:sz w:val="16"/>
                <w:szCs w:val="16"/>
              </w:rPr>
              <w:t xml:space="preserve">Page </w:t>
            </w:r>
            <w:r w:rsidRPr="00CA5E68">
              <w:rPr>
                <w:rFonts w:ascii="Arial" w:hAnsi="Arial" w:cs="Arial"/>
                <w:b/>
                <w:bCs/>
                <w:color w:val="4F81BD" w:themeColor="accent1"/>
                <w:sz w:val="16"/>
                <w:szCs w:val="16"/>
              </w:rPr>
              <w:fldChar w:fldCharType="begin"/>
            </w:r>
            <w:r w:rsidRPr="00CA5E68">
              <w:rPr>
                <w:rFonts w:ascii="Arial" w:hAnsi="Arial" w:cs="Arial"/>
                <w:b/>
                <w:bCs/>
                <w:color w:val="4F81BD" w:themeColor="accent1"/>
                <w:sz w:val="16"/>
                <w:szCs w:val="16"/>
              </w:rPr>
              <w:instrText xml:space="preserve"> PAGE </w:instrText>
            </w:r>
            <w:r w:rsidRPr="00CA5E68">
              <w:rPr>
                <w:rFonts w:ascii="Arial" w:hAnsi="Arial" w:cs="Arial"/>
                <w:b/>
                <w:bCs/>
                <w:color w:val="4F81BD" w:themeColor="accent1"/>
                <w:sz w:val="16"/>
                <w:szCs w:val="16"/>
              </w:rPr>
              <w:fldChar w:fldCharType="separate"/>
            </w:r>
            <w:proofErr w:type="gramStart"/>
            <w:r>
              <w:rPr>
                <w:rFonts w:ascii="Arial" w:hAnsi="Arial" w:cs="Arial"/>
                <w:b/>
                <w:bCs/>
                <w:color w:val="4F81BD" w:themeColor="accent1"/>
                <w:sz w:val="16"/>
                <w:szCs w:val="16"/>
              </w:rPr>
              <w:t>2</w:t>
            </w:r>
            <w:proofErr w:type="gramEnd"/>
            <w:r w:rsidRPr="00CA5E68">
              <w:rPr>
                <w:rFonts w:ascii="Arial" w:hAnsi="Arial" w:cs="Arial"/>
                <w:b/>
                <w:bCs/>
                <w:color w:val="4F81BD" w:themeColor="accent1"/>
                <w:sz w:val="16"/>
                <w:szCs w:val="16"/>
              </w:rPr>
              <w:fldChar w:fldCharType="end"/>
            </w:r>
            <w:r w:rsidRPr="00CA5E68">
              <w:rPr>
                <w:rFonts w:ascii="Arial" w:hAnsi="Arial" w:cs="Arial"/>
                <w:color w:val="4F81BD" w:themeColor="accent1"/>
                <w:sz w:val="16"/>
                <w:szCs w:val="16"/>
              </w:rPr>
              <w:t xml:space="preserve"> of </w:t>
            </w:r>
            <w:r w:rsidRPr="00CA5E68">
              <w:rPr>
                <w:rFonts w:ascii="Arial" w:hAnsi="Arial" w:cs="Arial"/>
                <w:b/>
                <w:bCs/>
                <w:color w:val="4F81BD" w:themeColor="accent1"/>
                <w:sz w:val="16"/>
                <w:szCs w:val="16"/>
              </w:rPr>
              <w:fldChar w:fldCharType="begin"/>
            </w:r>
            <w:r w:rsidRPr="00CA5E68">
              <w:rPr>
                <w:rFonts w:ascii="Arial" w:hAnsi="Arial" w:cs="Arial"/>
                <w:b/>
                <w:bCs/>
                <w:color w:val="4F81BD" w:themeColor="accent1"/>
                <w:sz w:val="16"/>
                <w:szCs w:val="16"/>
              </w:rPr>
              <w:instrText xml:space="preserve"> NUMPAGES  </w:instrText>
            </w:r>
            <w:r w:rsidRPr="00CA5E68">
              <w:rPr>
                <w:rFonts w:ascii="Arial" w:hAnsi="Arial" w:cs="Arial"/>
                <w:b/>
                <w:bCs/>
                <w:color w:val="4F81BD" w:themeColor="accent1"/>
                <w:sz w:val="16"/>
                <w:szCs w:val="16"/>
              </w:rPr>
              <w:fldChar w:fldCharType="separate"/>
            </w:r>
            <w:r>
              <w:rPr>
                <w:rFonts w:ascii="Arial" w:hAnsi="Arial" w:cs="Arial"/>
                <w:b/>
                <w:bCs/>
                <w:color w:val="4F81BD" w:themeColor="accent1"/>
                <w:sz w:val="16"/>
                <w:szCs w:val="16"/>
              </w:rPr>
              <w:t>29</w:t>
            </w:r>
            <w:r w:rsidRPr="00CA5E68">
              <w:rPr>
                <w:rFonts w:ascii="Arial" w:hAnsi="Arial" w:cs="Arial"/>
                <w:b/>
                <w:bCs/>
                <w:color w:val="4F81BD" w:themeColor="accent1"/>
                <w:sz w:val="16"/>
                <w:szCs w:val="16"/>
              </w:rPr>
              <w:fldChar w:fldCharType="end"/>
            </w:r>
          </w:p>
        </w:sdtContent>
      </w:sdt>
    </w:sdtContent>
  </w:sdt>
  <w:p w:rsidR="00C600D7" w:rsidRDefault="00C600D7" w14:paraId="1572BCC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25D1" w:rsidP="00C600D7" w:rsidRDefault="00B925D1" w14:paraId="7DC9D865" w14:textId="77777777">
      <w:pPr>
        <w:spacing w:after="0" w:line="240" w:lineRule="auto"/>
      </w:pPr>
      <w:r>
        <w:separator/>
      </w:r>
    </w:p>
  </w:footnote>
  <w:footnote w:type="continuationSeparator" w:id="0">
    <w:p w:rsidR="00B925D1" w:rsidP="00C600D7" w:rsidRDefault="00B925D1" w14:paraId="1220EC7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0D7" w:rsidRDefault="00C600D7" w14:paraId="13DF705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00D7" w:rsidP="00E93F25" w:rsidRDefault="00C600D7" w14:paraId="794E2D34" w14:textId="6E71EF9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600D7" w:rsidP="008B5E7D" w:rsidRDefault="00E24B37" w14:paraId="58DF1D47" w14:textId="7E8EC480">
    <w:pPr>
      <w:pStyle w:val="Header"/>
      <w:jc w:val="right"/>
    </w:pPr>
    <w:r>
      <w:rPr>
        <w:noProof/>
      </w:rPr>
      <w:drawing>
        <wp:inline distT="0" distB="0" distL="0" distR="0" wp14:anchorId="08E10948" wp14:editId="6007910A">
          <wp:extent cx="2295410" cy="1438275"/>
          <wp:effectExtent l="0" t="0" r="0" b="0"/>
          <wp:docPr id="78041401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414014" name="Picture 1"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2316" cy="144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6" w15:restartNumberingAfterBreak="0">
    <w:nsid w:val="08512E75"/>
    <w:multiLevelType w:val="hybridMultilevel"/>
    <w:tmpl w:val="8EA838FA"/>
    <w:lvl w:ilvl="0" w:tplc="A726D3DC">
      <w:start w:val="1"/>
      <w:numFmt w:val="decimal"/>
      <w:lvlText w:val="%1."/>
      <w:lvlJc w:val="left"/>
      <w:pPr>
        <w:ind w:left="720" w:hanging="360"/>
      </w:pPr>
      <w:rPr>
        <w:rFonts w:hint="default"/>
        <w:color w:val="000000" w:themeColor="text1"/>
      </w:rPr>
    </w:lvl>
    <w:lvl w:ilvl="1" w:tplc="4232CD00">
      <w:numFmt w:val="bullet"/>
      <w:lvlText w:val="•"/>
      <w:lvlJc w:val="left"/>
      <w:pPr>
        <w:ind w:left="1440" w:hanging="360"/>
      </w:pPr>
      <w:rPr>
        <w:rFonts w:hint="default" w:ascii="Arial" w:hAnsi="Arial" w:cs="Arial" w:eastAsiaTheme="minorEastAsia"/>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102B4B"/>
    <w:multiLevelType w:val="hybridMultilevel"/>
    <w:tmpl w:val="346803D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0AC55B64"/>
    <w:multiLevelType w:val="hybridMultilevel"/>
    <w:tmpl w:val="BC1AAE8E"/>
    <w:lvl w:ilvl="0" w:tplc="10BEA3D8">
      <w:start w:val="1"/>
      <w:numFmt w:val="bullet"/>
      <w:lvlText w:val=""/>
      <w:lvlJc w:val="left"/>
      <w:pPr>
        <w:ind w:left="144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0E1E431F"/>
    <w:multiLevelType w:val="hybridMultilevel"/>
    <w:tmpl w:val="619AAFC8"/>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0" w15:restartNumberingAfterBreak="0">
    <w:nsid w:val="11831383"/>
    <w:multiLevelType w:val="hybridMultilevel"/>
    <w:tmpl w:val="9398B6F6"/>
    <w:lvl w:ilvl="0" w:tplc="08090001">
      <w:start w:val="1"/>
      <w:numFmt w:val="bullet"/>
      <w:lvlText w:val=""/>
      <w:lvlJc w:val="left"/>
      <w:pPr>
        <w:ind w:left="774" w:hanging="360"/>
      </w:pPr>
      <w:rPr>
        <w:rFonts w:hint="default" w:ascii="Symbol" w:hAnsi="Symbol"/>
      </w:rPr>
    </w:lvl>
    <w:lvl w:ilvl="1" w:tplc="08090003" w:tentative="1">
      <w:start w:val="1"/>
      <w:numFmt w:val="bullet"/>
      <w:lvlText w:val="o"/>
      <w:lvlJc w:val="left"/>
      <w:pPr>
        <w:ind w:left="1494" w:hanging="360"/>
      </w:pPr>
      <w:rPr>
        <w:rFonts w:hint="default" w:ascii="Courier New" w:hAnsi="Courier New" w:cs="Courier New"/>
      </w:rPr>
    </w:lvl>
    <w:lvl w:ilvl="2" w:tplc="08090005" w:tentative="1">
      <w:start w:val="1"/>
      <w:numFmt w:val="bullet"/>
      <w:lvlText w:val=""/>
      <w:lvlJc w:val="left"/>
      <w:pPr>
        <w:ind w:left="2214" w:hanging="360"/>
      </w:pPr>
      <w:rPr>
        <w:rFonts w:hint="default" w:ascii="Wingdings" w:hAnsi="Wingdings"/>
      </w:rPr>
    </w:lvl>
    <w:lvl w:ilvl="3" w:tplc="08090001" w:tentative="1">
      <w:start w:val="1"/>
      <w:numFmt w:val="bullet"/>
      <w:lvlText w:val=""/>
      <w:lvlJc w:val="left"/>
      <w:pPr>
        <w:ind w:left="2934" w:hanging="360"/>
      </w:pPr>
      <w:rPr>
        <w:rFonts w:hint="default" w:ascii="Symbol" w:hAnsi="Symbol"/>
      </w:rPr>
    </w:lvl>
    <w:lvl w:ilvl="4" w:tplc="08090003" w:tentative="1">
      <w:start w:val="1"/>
      <w:numFmt w:val="bullet"/>
      <w:lvlText w:val="o"/>
      <w:lvlJc w:val="left"/>
      <w:pPr>
        <w:ind w:left="3654" w:hanging="360"/>
      </w:pPr>
      <w:rPr>
        <w:rFonts w:hint="default" w:ascii="Courier New" w:hAnsi="Courier New" w:cs="Courier New"/>
      </w:rPr>
    </w:lvl>
    <w:lvl w:ilvl="5" w:tplc="08090005" w:tentative="1">
      <w:start w:val="1"/>
      <w:numFmt w:val="bullet"/>
      <w:lvlText w:val=""/>
      <w:lvlJc w:val="left"/>
      <w:pPr>
        <w:ind w:left="4374" w:hanging="360"/>
      </w:pPr>
      <w:rPr>
        <w:rFonts w:hint="default" w:ascii="Wingdings" w:hAnsi="Wingdings"/>
      </w:rPr>
    </w:lvl>
    <w:lvl w:ilvl="6" w:tplc="08090001" w:tentative="1">
      <w:start w:val="1"/>
      <w:numFmt w:val="bullet"/>
      <w:lvlText w:val=""/>
      <w:lvlJc w:val="left"/>
      <w:pPr>
        <w:ind w:left="5094" w:hanging="360"/>
      </w:pPr>
      <w:rPr>
        <w:rFonts w:hint="default" w:ascii="Symbol" w:hAnsi="Symbol"/>
      </w:rPr>
    </w:lvl>
    <w:lvl w:ilvl="7" w:tplc="08090003" w:tentative="1">
      <w:start w:val="1"/>
      <w:numFmt w:val="bullet"/>
      <w:lvlText w:val="o"/>
      <w:lvlJc w:val="left"/>
      <w:pPr>
        <w:ind w:left="5814" w:hanging="360"/>
      </w:pPr>
      <w:rPr>
        <w:rFonts w:hint="default" w:ascii="Courier New" w:hAnsi="Courier New" w:cs="Courier New"/>
      </w:rPr>
    </w:lvl>
    <w:lvl w:ilvl="8" w:tplc="08090005" w:tentative="1">
      <w:start w:val="1"/>
      <w:numFmt w:val="bullet"/>
      <w:lvlText w:val=""/>
      <w:lvlJc w:val="left"/>
      <w:pPr>
        <w:ind w:left="6534" w:hanging="360"/>
      </w:pPr>
      <w:rPr>
        <w:rFonts w:hint="default" w:ascii="Wingdings" w:hAnsi="Wingdings"/>
      </w:rPr>
    </w:lvl>
  </w:abstractNum>
  <w:abstractNum w:abstractNumId="11" w15:restartNumberingAfterBreak="0">
    <w:nsid w:val="14970FEE"/>
    <w:multiLevelType w:val="hybridMultilevel"/>
    <w:tmpl w:val="835253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5A937AD"/>
    <w:multiLevelType w:val="hybridMultilevel"/>
    <w:tmpl w:val="F0F218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CE72D6"/>
    <w:multiLevelType w:val="hybridMultilevel"/>
    <w:tmpl w:val="8230DA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FCE61EF"/>
    <w:multiLevelType w:val="hybridMultilevel"/>
    <w:tmpl w:val="9522CFEA"/>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5" w15:restartNumberingAfterBreak="0">
    <w:nsid w:val="264A298E"/>
    <w:multiLevelType w:val="hybridMultilevel"/>
    <w:tmpl w:val="EBEC434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6" w15:restartNumberingAfterBreak="0">
    <w:nsid w:val="26C1648F"/>
    <w:multiLevelType w:val="hybridMultilevel"/>
    <w:tmpl w:val="2ACAF1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7C2671E"/>
    <w:multiLevelType w:val="hybridMultilevel"/>
    <w:tmpl w:val="92AAEF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F8E252E"/>
    <w:multiLevelType w:val="hybridMultilevel"/>
    <w:tmpl w:val="3B40897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317215EB"/>
    <w:multiLevelType w:val="multilevel"/>
    <w:tmpl w:val="99388724"/>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5F41AEE"/>
    <w:multiLevelType w:val="hybridMultilevel"/>
    <w:tmpl w:val="9DE4BC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6471114"/>
    <w:multiLevelType w:val="hybridMultilevel"/>
    <w:tmpl w:val="B3ECE8A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395E7842"/>
    <w:multiLevelType w:val="hybridMultilevel"/>
    <w:tmpl w:val="7F1A79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E340405"/>
    <w:multiLevelType w:val="hybridMultilevel"/>
    <w:tmpl w:val="CB76FA88"/>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381BB6"/>
    <w:multiLevelType w:val="hybridMultilevel"/>
    <w:tmpl w:val="791CC1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66E24E0"/>
    <w:multiLevelType w:val="hybridMultilevel"/>
    <w:tmpl w:val="D8085A7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6" w15:restartNumberingAfterBreak="0">
    <w:nsid w:val="4B1A610B"/>
    <w:multiLevelType w:val="hybridMultilevel"/>
    <w:tmpl w:val="39D293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BED7E5A"/>
    <w:multiLevelType w:val="hybridMultilevel"/>
    <w:tmpl w:val="DE1208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1050095"/>
    <w:multiLevelType w:val="multilevel"/>
    <w:tmpl w:val="AEEE598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3EF5050"/>
    <w:multiLevelType w:val="hybridMultilevel"/>
    <w:tmpl w:val="9B9896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01541D7"/>
    <w:multiLevelType w:val="hybridMultilevel"/>
    <w:tmpl w:val="5C0C9C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14A3111"/>
    <w:multiLevelType w:val="hybridMultilevel"/>
    <w:tmpl w:val="24E00D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3087599"/>
    <w:multiLevelType w:val="hybridMultilevel"/>
    <w:tmpl w:val="A210DA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3" w15:restartNumberingAfterBreak="0">
    <w:nsid w:val="632542B9"/>
    <w:multiLevelType w:val="multilevel"/>
    <w:tmpl w:val="E20C96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67685E4D"/>
    <w:multiLevelType w:val="hybridMultilevel"/>
    <w:tmpl w:val="08585C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ACE00BC"/>
    <w:multiLevelType w:val="hybridMultilevel"/>
    <w:tmpl w:val="A8180CC4"/>
    <w:lvl w:ilvl="0" w:tplc="08090001">
      <w:start w:val="1"/>
      <w:numFmt w:val="bullet"/>
      <w:lvlText w:val=""/>
      <w:lvlJc w:val="left"/>
      <w:pPr>
        <w:ind w:left="720" w:hanging="360"/>
      </w:pPr>
      <w:rPr>
        <w:rFonts w:hint="default" w:ascii="Symbol" w:hAnsi="Symbol"/>
      </w:rPr>
    </w:lvl>
    <w:lvl w:ilvl="1" w:tplc="F6886864">
      <w:numFmt w:val="bullet"/>
      <w:lvlText w:val="•"/>
      <w:lvlJc w:val="left"/>
      <w:pPr>
        <w:ind w:left="1440" w:hanging="360"/>
      </w:pPr>
      <w:rPr>
        <w:rFonts w:hint="default" w:ascii="Arial" w:hAnsi="Arial" w:cs="Arial" w:eastAsiaTheme="minorEastAsia"/>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F470D0E"/>
    <w:multiLevelType w:val="hybridMultilevel"/>
    <w:tmpl w:val="1B4C8A7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16cid:durableId="679353743">
    <w:abstractNumId w:val="5"/>
  </w:num>
  <w:num w:numId="2" w16cid:durableId="8720615">
    <w:abstractNumId w:val="3"/>
  </w:num>
  <w:num w:numId="3" w16cid:durableId="498237289">
    <w:abstractNumId w:val="2"/>
  </w:num>
  <w:num w:numId="4" w16cid:durableId="1274435766">
    <w:abstractNumId w:val="4"/>
  </w:num>
  <w:num w:numId="5" w16cid:durableId="1100300395">
    <w:abstractNumId w:val="1"/>
  </w:num>
  <w:num w:numId="6" w16cid:durableId="744687417">
    <w:abstractNumId w:val="0"/>
  </w:num>
  <w:num w:numId="7" w16cid:durableId="1411735121">
    <w:abstractNumId w:val="13"/>
  </w:num>
  <w:num w:numId="8" w16cid:durableId="1843619694">
    <w:abstractNumId w:val="28"/>
  </w:num>
  <w:num w:numId="9" w16cid:durableId="1047533332">
    <w:abstractNumId w:val="10"/>
  </w:num>
  <w:num w:numId="10" w16cid:durableId="1018392261">
    <w:abstractNumId w:val="27"/>
  </w:num>
  <w:num w:numId="11" w16cid:durableId="543444543">
    <w:abstractNumId w:val="35"/>
  </w:num>
  <w:num w:numId="12" w16cid:durableId="1177845320">
    <w:abstractNumId w:val="8"/>
  </w:num>
  <w:num w:numId="13" w16cid:durableId="1352299296">
    <w:abstractNumId w:val="34"/>
  </w:num>
  <w:num w:numId="14" w16cid:durableId="1263490221">
    <w:abstractNumId w:val="17"/>
  </w:num>
  <w:num w:numId="15" w16cid:durableId="1073435381">
    <w:abstractNumId w:val="22"/>
  </w:num>
  <w:num w:numId="16" w16cid:durableId="650595506">
    <w:abstractNumId w:val="11"/>
  </w:num>
  <w:num w:numId="17" w16cid:durableId="906188230">
    <w:abstractNumId w:val="26"/>
  </w:num>
  <w:num w:numId="18" w16cid:durableId="301809453">
    <w:abstractNumId w:val="6"/>
  </w:num>
  <w:num w:numId="19" w16cid:durableId="325716866">
    <w:abstractNumId w:val="30"/>
  </w:num>
  <w:num w:numId="20" w16cid:durableId="1621642526">
    <w:abstractNumId w:val="21"/>
  </w:num>
  <w:num w:numId="21" w16cid:durableId="1072969220">
    <w:abstractNumId w:val="12"/>
  </w:num>
  <w:num w:numId="22" w16cid:durableId="347096379">
    <w:abstractNumId w:val="18"/>
  </w:num>
  <w:num w:numId="23" w16cid:durableId="170418266">
    <w:abstractNumId w:val="19"/>
  </w:num>
  <w:num w:numId="24" w16cid:durableId="1748335559">
    <w:abstractNumId w:val="23"/>
  </w:num>
  <w:num w:numId="25" w16cid:durableId="243760810">
    <w:abstractNumId w:val="15"/>
  </w:num>
  <w:num w:numId="26" w16cid:durableId="1257665983">
    <w:abstractNumId w:val="32"/>
  </w:num>
  <w:num w:numId="27" w16cid:durableId="1780490089">
    <w:abstractNumId w:val="16"/>
  </w:num>
  <w:num w:numId="28" w16cid:durableId="1875996614">
    <w:abstractNumId w:val="29"/>
  </w:num>
  <w:num w:numId="29" w16cid:durableId="243490670">
    <w:abstractNumId w:val="25"/>
  </w:num>
  <w:num w:numId="30" w16cid:durableId="260843136">
    <w:abstractNumId w:val="20"/>
  </w:num>
  <w:num w:numId="31" w16cid:durableId="71852111">
    <w:abstractNumId w:val="7"/>
  </w:num>
  <w:num w:numId="32" w16cid:durableId="1417898270">
    <w:abstractNumId w:val="31"/>
  </w:num>
  <w:num w:numId="33" w16cid:durableId="1560483281">
    <w:abstractNumId w:val="14"/>
  </w:num>
  <w:num w:numId="34" w16cid:durableId="736441400">
    <w:abstractNumId w:val="9"/>
  </w:num>
  <w:num w:numId="35" w16cid:durableId="527375538">
    <w:abstractNumId w:val="36"/>
  </w:num>
  <w:num w:numId="36" w16cid:durableId="1582520524">
    <w:abstractNumId w:val="33"/>
  </w:num>
  <w:num w:numId="37" w16cid:durableId="1791774666">
    <w:abstractNumId w:val="24"/>
  </w:num>
  <w:numIdMacAtCleanup w:val="2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68C"/>
    <w:rsid w:val="00005375"/>
    <w:rsid w:val="0001036D"/>
    <w:rsid w:val="0001111D"/>
    <w:rsid w:val="00013E93"/>
    <w:rsid w:val="00026C9C"/>
    <w:rsid w:val="00034616"/>
    <w:rsid w:val="00042BE0"/>
    <w:rsid w:val="000456B1"/>
    <w:rsid w:val="000529E8"/>
    <w:rsid w:val="00052FFD"/>
    <w:rsid w:val="0006063C"/>
    <w:rsid w:val="0006294B"/>
    <w:rsid w:val="00063E32"/>
    <w:rsid w:val="00074005"/>
    <w:rsid w:val="000758E7"/>
    <w:rsid w:val="00081DF3"/>
    <w:rsid w:val="000838DB"/>
    <w:rsid w:val="00092BA4"/>
    <w:rsid w:val="000954D1"/>
    <w:rsid w:val="000A50C1"/>
    <w:rsid w:val="000A656B"/>
    <w:rsid w:val="000B528A"/>
    <w:rsid w:val="000D17A9"/>
    <w:rsid w:val="000D7AAA"/>
    <w:rsid w:val="000E164F"/>
    <w:rsid w:val="000E6770"/>
    <w:rsid w:val="000F1E0D"/>
    <w:rsid w:val="000F4519"/>
    <w:rsid w:val="000F4A20"/>
    <w:rsid w:val="000F7E7B"/>
    <w:rsid w:val="00102790"/>
    <w:rsid w:val="00112543"/>
    <w:rsid w:val="001145C4"/>
    <w:rsid w:val="00136861"/>
    <w:rsid w:val="001428CE"/>
    <w:rsid w:val="00146D3A"/>
    <w:rsid w:val="0015074B"/>
    <w:rsid w:val="001640BD"/>
    <w:rsid w:val="00164C47"/>
    <w:rsid w:val="00167095"/>
    <w:rsid w:val="001778AE"/>
    <w:rsid w:val="00182BE6"/>
    <w:rsid w:val="00183F8B"/>
    <w:rsid w:val="00184304"/>
    <w:rsid w:val="00185715"/>
    <w:rsid w:val="00186183"/>
    <w:rsid w:val="001864DF"/>
    <w:rsid w:val="00190380"/>
    <w:rsid w:val="00193549"/>
    <w:rsid w:val="00197F01"/>
    <w:rsid w:val="001B40D9"/>
    <w:rsid w:val="001B448E"/>
    <w:rsid w:val="001C64BC"/>
    <w:rsid w:val="001C7E0E"/>
    <w:rsid w:val="001D18EB"/>
    <w:rsid w:val="001E66F7"/>
    <w:rsid w:val="001E7615"/>
    <w:rsid w:val="002030AE"/>
    <w:rsid w:val="00221426"/>
    <w:rsid w:val="00247297"/>
    <w:rsid w:val="0025210B"/>
    <w:rsid w:val="0025232E"/>
    <w:rsid w:val="002540AE"/>
    <w:rsid w:val="002546D2"/>
    <w:rsid w:val="00256851"/>
    <w:rsid w:val="0026695D"/>
    <w:rsid w:val="00267CC8"/>
    <w:rsid w:val="002708AE"/>
    <w:rsid w:val="00271F63"/>
    <w:rsid w:val="00273596"/>
    <w:rsid w:val="0027671D"/>
    <w:rsid w:val="002767AC"/>
    <w:rsid w:val="0028671A"/>
    <w:rsid w:val="002871D9"/>
    <w:rsid w:val="00290799"/>
    <w:rsid w:val="0029639D"/>
    <w:rsid w:val="002A6EF2"/>
    <w:rsid w:val="002B4A23"/>
    <w:rsid w:val="002D12A8"/>
    <w:rsid w:val="002F5F4C"/>
    <w:rsid w:val="00315102"/>
    <w:rsid w:val="003215C9"/>
    <w:rsid w:val="00323A33"/>
    <w:rsid w:val="003243ED"/>
    <w:rsid w:val="00326F90"/>
    <w:rsid w:val="00336942"/>
    <w:rsid w:val="00346F0D"/>
    <w:rsid w:val="00350C2B"/>
    <w:rsid w:val="00352BC8"/>
    <w:rsid w:val="00353E30"/>
    <w:rsid w:val="00354AAD"/>
    <w:rsid w:val="00362E7E"/>
    <w:rsid w:val="003653E4"/>
    <w:rsid w:val="00365F65"/>
    <w:rsid w:val="00372709"/>
    <w:rsid w:val="00395240"/>
    <w:rsid w:val="00396449"/>
    <w:rsid w:val="003A6AAA"/>
    <w:rsid w:val="003B3F67"/>
    <w:rsid w:val="003B6EE6"/>
    <w:rsid w:val="003B6EF0"/>
    <w:rsid w:val="003C1525"/>
    <w:rsid w:val="003D5F9D"/>
    <w:rsid w:val="003F6DFA"/>
    <w:rsid w:val="00401A87"/>
    <w:rsid w:val="004160BA"/>
    <w:rsid w:val="004166E6"/>
    <w:rsid w:val="00422E76"/>
    <w:rsid w:val="004271D0"/>
    <w:rsid w:val="004349E0"/>
    <w:rsid w:val="00434A21"/>
    <w:rsid w:val="00446396"/>
    <w:rsid w:val="0045026E"/>
    <w:rsid w:val="00455A9F"/>
    <w:rsid w:val="00457B72"/>
    <w:rsid w:val="004656EC"/>
    <w:rsid w:val="00480F6A"/>
    <w:rsid w:val="00487018"/>
    <w:rsid w:val="00491191"/>
    <w:rsid w:val="00494120"/>
    <w:rsid w:val="00494B81"/>
    <w:rsid w:val="004A7F14"/>
    <w:rsid w:val="004B4BC8"/>
    <w:rsid w:val="004D0D07"/>
    <w:rsid w:val="004E0FBD"/>
    <w:rsid w:val="004E5303"/>
    <w:rsid w:val="004E7167"/>
    <w:rsid w:val="004F095E"/>
    <w:rsid w:val="004F6DF9"/>
    <w:rsid w:val="00502D61"/>
    <w:rsid w:val="00504BE7"/>
    <w:rsid w:val="005058E9"/>
    <w:rsid w:val="00511B8A"/>
    <w:rsid w:val="00517152"/>
    <w:rsid w:val="00533B75"/>
    <w:rsid w:val="00537A0A"/>
    <w:rsid w:val="00542E6C"/>
    <w:rsid w:val="00544AA3"/>
    <w:rsid w:val="0054752E"/>
    <w:rsid w:val="00547E86"/>
    <w:rsid w:val="005530B7"/>
    <w:rsid w:val="00560E31"/>
    <w:rsid w:val="00573915"/>
    <w:rsid w:val="005752DE"/>
    <w:rsid w:val="00580AAE"/>
    <w:rsid w:val="005819E9"/>
    <w:rsid w:val="00582C77"/>
    <w:rsid w:val="005A2AF9"/>
    <w:rsid w:val="005C30D6"/>
    <w:rsid w:val="005C44E2"/>
    <w:rsid w:val="005C7B0D"/>
    <w:rsid w:val="005D2E44"/>
    <w:rsid w:val="005D2F21"/>
    <w:rsid w:val="005D7000"/>
    <w:rsid w:val="005E62A2"/>
    <w:rsid w:val="005F04F4"/>
    <w:rsid w:val="005F2634"/>
    <w:rsid w:val="005F5477"/>
    <w:rsid w:val="005F6E21"/>
    <w:rsid w:val="005F7FFE"/>
    <w:rsid w:val="0060633F"/>
    <w:rsid w:val="00610F3C"/>
    <w:rsid w:val="006115AC"/>
    <w:rsid w:val="0062464A"/>
    <w:rsid w:val="006303A2"/>
    <w:rsid w:val="00632871"/>
    <w:rsid w:val="00633BE5"/>
    <w:rsid w:val="00635CC0"/>
    <w:rsid w:val="00646996"/>
    <w:rsid w:val="00653814"/>
    <w:rsid w:val="00655030"/>
    <w:rsid w:val="00655513"/>
    <w:rsid w:val="00661286"/>
    <w:rsid w:val="00664F46"/>
    <w:rsid w:val="00667282"/>
    <w:rsid w:val="006848D2"/>
    <w:rsid w:val="00695694"/>
    <w:rsid w:val="00695E55"/>
    <w:rsid w:val="0069799B"/>
    <w:rsid w:val="006A0F0B"/>
    <w:rsid w:val="006A295A"/>
    <w:rsid w:val="006A3E7F"/>
    <w:rsid w:val="006A7183"/>
    <w:rsid w:val="006E1B1A"/>
    <w:rsid w:val="006E2618"/>
    <w:rsid w:val="006E455A"/>
    <w:rsid w:val="006E53AA"/>
    <w:rsid w:val="006E588E"/>
    <w:rsid w:val="006F44B9"/>
    <w:rsid w:val="006F4688"/>
    <w:rsid w:val="006F59A9"/>
    <w:rsid w:val="006F6B7E"/>
    <w:rsid w:val="0070243F"/>
    <w:rsid w:val="00726FF4"/>
    <w:rsid w:val="00733919"/>
    <w:rsid w:val="00743BD2"/>
    <w:rsid w:val="00747FB8"/>
    <w:rsid w:val="007563E8"/>
    <w:rsid w:val="00756A53"/>
    <w:rsid w:val="00756A91"/>
    <w:rsid w:val="00765FB5"/>
    <w:rsid w:val="00772127"/>
    <w:rsid w:val="007A2371"/>
    <w:rsid w:val="007A5D31"/>
    <w:rsid w:val="007A6FC3"/>
    <w:rsid w:val="007A7874"/>
    <w:rsid w:val="007C33B4"/>
    <w:rsid w:val="007C6D96"/>
    <w:rsid w:val="007E0714"/>
    <w:rsid w:val="007E52CE"/>
    <w:rsid w:val="007E6642"/>
    <w:rsid w:val="007F3838"/>
    <w:rsid w:val="00806079"/>
    <w:rsid w:val="008076D6"/>
    <w:rsid w:val="00807AB7"/>
    <w:rsid w:val="00814C94"/>
    <w:rsid w:val="008170FC"/>
    <w:rsid w:val="00835593"/>
    <w:rsid w:val="00842E33"/>
    <w:rsid w:val="008430A8"/>
    <w:rsid w:val="00847BF2"/>
    <w:rsid w:val="00852258"/>
    <w:rsid w:val="00854E9F"/>
    <w:rsid w:val="00856452"/>
    <w:rsid w:val="00866CA3"/>
    <w:rsid w:val="008942A5"/>
    <w:rsid w:val="008949C2"/>
    <w:rsid w:val="00897683"/>
    <w:rsid w:val="008A5A3E"/>
    <w:rsid w:val="008A7BB5"/>
    <w:rsid w:val="008B5E7D"/>
    <w:rsid w:val="008C0C63"/>
    <w:rsid w:val="008C1B74"/>
    <w:rsid w:val="008C69CF"/>
    <w:rsid w:val="008D6F99"/>
    <w:rsid w:val="008E1316"/>
    <w:rsid w:val="008E1515"/>
    <w:rsid w:val="008E196E"/>
    <w:rsid w:val="008E32E8"/>
    <w:rsid w:val="008F0817"/>
    <w:rsid w:val="008F25CB"/>
    <w:rsid w:val="008F4015"/>
    <w:rsid w:val="008F43F3"/>
    <w:rsid w:val="008F6046"/>
    <w:rsid w:val="009025CF"/>
    <w:rsid w:val="0090584D"/>
    <w:rsid w:val="00911E17"/>
    <w:rsid w:val="00915539"/>
    <w:rsid w:val="009179B5"/>
    <w:rsid w:val="00920447"/>
    <w:rsid w:val="00923A5E"/>
    <w:rsid w:val="0092480D"/>
    <w:rsid w:val="009339B1"/>
    <w:rsid w:val="00937F81"/>
    <w:rsid w:val="00954D2A"/>
    <w:rsid w:val="0095670D"/>
    <w:rsid w:val="0095747D"/>
    <w:rsid w:val="00963DAA"/>
    <w:rsid w:val="009800B4"/>
    <w:rsid w:val="009869DF"/>
    <w:rsid w:val="0099065C"/>
    <w:rsid w:val="00992386"/>
    <w:rsid w:val="00997339"/>
    <w:rsid w:val="009A6C75"/>
    <w:rsid w:val="009B557E"/>
    <w:rsid w:val="009B613E"/>
    <w:rsid w:val="009D0501"/>
    <w:rsid w:val="009D2042"/>
    <w:rsid w:val="009E2049"/>
    <w:rsid w:val="009E57A7"/>
    <w:rsid w:val="009F6516"/>
    <w:rsid w:val="009F74DD"/>
    <w:rsid w:val="00A01EFC"/>
    <w:rsid w:val="00A035E6"/>
    <w:rsid w:val="00A07072"/>
    <w:rsid w:val="00A07C4D"/>
    <w:rsid w:val="00A1666D"/>
    <w:rsid w:val="00A209C3"/>
    <w:rsid w:val="00A212C1"/>
    <w:rsid w:val="00A36C50"/>
    <w:rsid w:val="00A4045B"/>
    <w:rsid w:val="00A41EED"/>
    <w:rsid w:val="00A42677"/>
    <w:rsid w:val="00A436AD"/>
    <w:rsid w:val="00A50FBA"/>
    <w:rsid w:val="00A771F8"/>
    <w:rsid w:val="00A77351"/>
    <w:rsid w:val="00A9103C"/>
    <w:rsid w:val="00A95552"/>
    <w:rsid w:val="00AA1D8D"/>
    <w:rsid w:val="00AB23EB"/>
    <w:rsid w:val="00AB2E8B"/>
    <w:rsid w:val="00AC6905"/>
    <w:rsid w:val="00AC712A"/>
    <w:rsid w:val="00AD3981"/>
    <w:rsid w:val="00AE300A"/>
    <w:rsid w:val="00AE3176"/>
    <w:rsid w:val="00AF05A8"/>
    <w:rsid w:val="00AF0CB2"/>
    <w:rsid w:val="00AF6AC9"/>
    <w:rsid w:val="00B127A1"/>
    <w:rsid w:val="00B12EBE"/>
    <w:rsid w:val="00B15CB5"/>
    <w:rsid w:val="00B25634"/>
    <w:rsid w:val="00B26921"/>
    <w:rsid w:val="00B3065F"/>
    <w:rsid w:val="00B3352A"/>
    <w:rsid w:val="00B34309"/>
    <w:rsid w:val="00B42F39"/>
    <w:rsid w:val="00B43227"/>
    <w:rsid w:val="00B44FB0"/>
    <w:rsid w:val="00B47730"/>
    <w:rsid w:val="00B577E0"/>
    <w:rsid w:val="00B615CF"/>
    <w:rsid w:val="00B674F5"/>
    <w:rsid w:val="00B82047"/>
    <w:rsid w:val="00B87C47"/>
    <w:rsid w:val="00B92306"/>
    <w:rsid w:val="00B925D1"/>
    <w:rsid w:val="00B943DD"/>
    <w:rsid w:val="00BA49BF"/>
    <w:rsid w:val="00BC57CB"/>
    <w:rsid w:val="00BE0824"/>
    <w:rsid w:val="00BE0A35"/>
    <w:rsid w:val="00BE6C51"/>
    <w:rsid w:val="00BF2FD2"/>
    <w:rsid w:val="00BF5FBC"/>
    <w:rsid w:val="00BF6281"/>
    <w:rsid w:val="00C05126"/>
    <w:rsid w:val="00C1133A"/>
    <w:rsid w:val="00C152FD"/>
    <w:rsid w:val="00C15838"/>
    <w:rsid w:val="00C338A7"/>
    <w:rsid w:val="00C34228"/>
    <w:rsid w:val="00C362DF"/>
    <w:rsid w:val="00C4618E"/>
    <w:rsid w:val="00C600D7"/>
    <w:rsid w:val="00C73215"/>
    <w:rsid w:val="00C737EB"/>
    <w:rsid w:val="00C87354"/>
    <w:rsid w:val="00C96764"/>
    <w:rsid w:val="00CA5E68"/>
    <w:rsid w:val="00CB0664"/>
    <w:rsid w:val="00CC1489"/>
    <w:rsid w:val="00CC423D"/>
    <w:rsid w:val="00CC78BA"/>
    <w:rsid w:val="00CD4378"/>
    <w:rsid w:val="00CD4FA1"/>
    <w:rsid w:val="00CD5A03"/>
    <w:rsid w:val="00CE3541"/>
    <w:rsid w:val="00CE3602"/>
    <w:rsid w:val="00D01CCD"/>
    <w:rsid w:val="00D01EDC"/>
    <w:rsid w:val="00D03FC4"/>
    <w:rsid w:val="00D1561A"/>
    <w:rsid w:val="00D15700"/>
    <w:rsid w:val="00D2013F"/>
    <w:rsid w:val="00D26979"/>
    <w:rsid w:val="00D31268"/>
    <w:rsid w:val="00D35C92"/>
    <w:rsid w:val="00D50DCA"/>
    <w:rsid w:val="00D62BB7"/>
    <w:rsid w:val="00D672BA"/>
    <w:rsid w:val="00D76A22"/>
    <w:rsid w:val="00D77975"/>
    <w:rsid w:val="00D81E14"/>
    <w:rsid w:val="00D87A65"/>
    <w:rsid w:val="00DA0A99"/>
    <w:rsid w:val="00DA3FDD"/>
    <w:rsid w:val="00DA6243"/>
    <w:rsid w:val="00DA78B3"/>
    <w:rsid w:val="00DB58D1"/>
    <w:rsid w:val="00DC62DE"/>
    <w:rsid w:val="00DC6468"/>
    <w:rsid w:val="00DC6EB1"/>
    <w:rsid w:val="00DC7735"/>
    <w:rsid w:val="00DD3E84"/>
    <w:rsid w:val="00DE0691"/>
    <w:rsid w:val="00DE4D8A"/>
    <w:rsid w:val="00E06E99"/>
    <w:rsid w:val="00E10147"/>
    <w:rsid w:val="00E14A3D"/>
    <w:rsid w:val="00E21777"/>
    <w:rsid w:val="00E24B37"/>
    <w:rsid w:val="00E26DC4"/>
    <w:rsid w:val="00E31A54"/>
    <w:rsid w:val="00E32D14"/>
    <w:rsid w:val="00E435FB"/>
    <w:rsid w:val="00E51FCD"/>
    <w:rsid w:val="00E525D9"/>
    <w:rsid w:val="00E52962"/>
    <w:rsid w:val="00E545F4"/>
    <w:rsid w:val="00E5680B"/>
    <w:rsid w:val="00E573AD"/>
    <w:rsid w:val="00E60266"/>
    <w:rsid w:val="00E64A72"/>
    <w:rsid w:val="00E6756B"/>
    <w:rsid w:val="00E7629F"/>
    <w:rsid w:val="00E825B8"/>
    <w:rsid w:val="00E85BD3"/>
    <w:rsid w:val="00E8670B"/>
    <w:rsid w:val="00E93F25"/>
    <w:rsid w:val="00EA05E4"/>
    <w:rsid w:val="00EB0A79"/>
    <w:rsid w:val="00EB70DA"/>
    <w:rsid w:val="00EC0C7F"/>
    <w:rsid w:val="00EC2E12"/>
    <w:rsid w:val="00EC7AC7"/>
    <w:rsid w:val="00ED476C"/>
    <w:rsid w:val="00EE3214"/>
    <w:rsid w:val="00EF4142"/>
    <w:rsid w:val="00F00F04"/>
    <w:rsid w:val="00F01E3D"/>
    <w:rsid w:val="00F06CA9"/>
    <w:rsid w:val="00F10737"/>
    <w:rsid w:val="00F15F04"/>
    <w:rsid w:val="00F21B3F"/>
    <w:rsid w:val="00F34E70"/>
    <w:rsid w:val="00F45424"/>
    <w:rsid w:val="00F4735E"/>
    <w:rsid w:val="00F50129"/>
    <w:rsid w:val="00F60D43"/>
    <w:rsid w:val="00F75E0B"/>
    <w:rsid w:val="00F76FA4"/>
    <w:rsid w:val="00F86E8C"/>
    <w:rsid w:val="00F907FF"/>
    <w:rsid w:val="00F95687"/>
    <w:rsid w:val="00FA35C1"/>
    <w:rsid w:val="00FB046C"/>
    <w:rsid w:val="00FB3ACA"/>
    <w:rsid w:val="00FB5E06"/>
    <w:rsid w:val="00FC05E3"/>
    <w:rsid w:val="00FC0AA8"/>
    <w:rsid w:val="00FC55C1"/>
    <w:rsid w:val="00FC693F"/>
    <w:rsid w:val="00FE6641"/>
    <w:rsid w:val="00FF1C96"/>
    <w:rsid w:val="01D7CF63"/>
    <w:rsid w:val="06612E74"/>
    <w:rsid w:val="07F4EA94"/>
    <w:rsid w:val="0EA508DB"/>
    <w:rsid w:val="1072ED4C"/>
    <w:rsid w:val="11F464D3"/>
    <w:rsid w:val="125C4DCC"/>
    <w:rsid w:val="14E62E6D"/>
    <w:rsid w:val="1ADF96BD"/>
    <w:rsid w:val="1BF081A2"/>
    <w:rsid w:val="1D5E9C2A"/>
    <w:rsid w:val="1E4D593B"/>
    <w:rsid w:val="24424943"/>
    <w:rsid w:val="252DAAA9"/>
    <w:rsid w:val="293E56E4"/>
    <w:rsid w:val="29F268BB"/>
    <w:rsid w:val="3001C93E"/>
    <w:rsid w:val="362471A9"/>
    <w:rsid w:val="3785AF5C"/>
    <w:rsid w:val="38F57757"/>
    <w:rsid w:val="3B107299"/>
    <w:rsid w:val="3CC4B01F"/>
    <w:rsid w:val="3DD2B7FD"/>
    <w:rsid w:val="3DEC2BD3"/>
    <w:rsid w:val="3EBD58E7"/>
    <w:rsid w:val="41F3A802"/>
    <w:rsid w:val="44507BB6"/>
    <w:rsid w:val="4921F29C"/>
    <w:rsid w:val="499566D5"/>
    <w:rsid w:val="4C81A755"/>
    <w:rsid w:val="4CA4F3CC"/>
    <w:rsid w:val="4D331760"/>
    <w:rsid w:val="4E5434D5"/>
    <w:rsid w:val="51FE36A4"/>
    <w:rsid w:val="5228A886"/>
    <w:rsid w:val="532BF49F"/>
    <w:rsid w:val="549842D1"/>
    <w:rsid w:val="54E9119E"/>
    <w:rsid w:val="5B071D9D"/>
    <w:rsid w:val="5C7E7F04"/>
    <w:rsid w:val="5D4CC169"/>
    <w:rsid w:val="61C66EDA"/>
    <w:rsid w:val="62B0B446"/>
    <w:rsid w:val="63C610D6"/>
    <w:rsid w:val="66249CB7"/>
    <w:rsid w:val="69522064"/>
    <w:rsid w:val="6A8D25AE"/>
    <w:rsid w:val="6B9DE975"/>
    <w:rsid w:val="6C69A6CE"/>
    <w:rsid w:val="6F87A5EE"/>
    <w:rsid w:val="722C921E"/>
    <w:rsid w:val="75B9CCC3"/>
    <w:rsid w:val="79B18068"/>
    <w:rsid w:val="7A8D9435"/>
    <w:rsid w:val="7BE3B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865DD4"/>
  <w14:defaultImageDpi w14:val="300"/>
  <w15:docId w15:val="{AA94BF71-380C-49F2-82AF-9B65DA430CA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Comment Reference"/>
    <w:basedOn w:val="DefaultParagraphFont"/>
    <w:uiPriority w:val="99"/>
    <w:semiHidden/>
    <w:unhideWhenUsed/>
    <w:rsid w:val="00F06CA9"/>
    <w:rPr>
      <w:sz w:val="16"/>
      <w:szCs w:val="16"/>
    </w:rPr>
  </w:style>
  <w:style w:type="paragraph" w:styleId="CommentText">
    <w:name w:val="Comment Text"/>
    <w:basedOn w:val="Normal"/>
    <w:link w:val="CommentTextChar"/>
    <w:uiPriority w:val="99"/>
    <w:unhideWhenUsed/>
    <w:rsid w:val="00F06CA9"/>
    <w:pPr>
      <w:spacing w:line="240" w:lineRule="auto"/>
    </w:pPr>
    <w:rPr>
      <w:sz w:val="20"/>
      <w:szCs w:val="20"/>
    </w:rPr>
  </w:style>
  <w:style w:type="character" w:styleId="CommentTextChar" w:customStyle="1">
    <w:name w:val="Comment Text Char"/>
    <w:basedOn w:val="DefaultParagraphFont"/>
    <w:link w:val="CommentText"/>
    <w:uiPriority w:val="99"/>
    <w:rsid w:val="00F06CA9"/>
    <w:rPr>
      <w:sz w:val="20"/>
      <w:szCs w:val="20"/>
    </w:rPr>
  </w:style>
  <w:style w:type="paragraph" w:styleId="CommentSubject">
    <w:name w:val="Comment Subject"/>
    <w:basedOn w:val="CommentText"/>
    <w:next w:val="CommentText"/>
    <w:link w:val="CommentSubjectChar"/>
    <w:uiPriority w:val="99"/>
    <w:semiHidden/>
    <w:unhideWhenUsed/>
    <w:rsid w:val="00F06CA9"/>
    <w:rPr>
      <w:b/>
      <w:bCs/>
    </w:rPr>
  </w:style>
  <w:style w:type="character" w:styleId="CommentSubjectChar" w:customStyle="1">
    <w:name w:val="Comment Subject Char"/>
    <w:basedOn w:val="CommentTextChar"/>
    <w:link w:val="CommentSubject"/>
    <w:uiPriority w:val="99"/>
    <w:semiHidden/>
    <w:rsid w:val="00F06CA9"/>
    <w:rPr>
      <w:b/>
      <w:bCs/>
      <w:sz w:val="20"/>
      <w:szCs w:val="20"/>
    </w:rPr>
  </w:style>
  <w:style w:type="paragraph" w:styleId="Revision">
    <w:name w:val="Revision"/>
    <w:hidden/>
    <w:uiPriority w:val="99"/>
    <w:semiHidden/>
    <w:rsid w:val="00DC7735"/>
    <w:pPr>
      <w:spacing w:after="0" w:line="240" w:lineRule="auto"/>
    </w:pPr>
  </w:style>
  <w:style w:type="character" w:styleId="Hyperlink">
    <w:name w:val="Hyperlink"/>
    <w:basedOn w:val="DefaultParagraphFont"/>
    <w:uiPriority w:val="99"/>
    <w:unhideWhenUsed/>
    <w:rsid w:val="00026C9C"/>
    <w:rPr>
      <w:color w:val="0000FF" w:themeColor="hyperlink"/>
      <w:u w:val="single"/>
    </w:rPr>
  </w:style>
  <w:style w:type="character" w:styleId="UnresolvedMention">
    <w:name w:val="Unresolved Mention"/>
    <w:basedOn w:val="DefaultParagraphFont"/>
    <w:uiPriority w:val="99"/>
    <w:semiHidden/>
    <w:unhideWhenUsed/>
    <w:rsid w:val="00026C9C"/>
    <w:rPr>
      <w:color w:val="605E5C"/>
      <w:shd w:val="clear" w:color="auto" w:fill="E1DFDD"/>
    </w:rPr>
  </w:style>
  <w:style w:type="character" w:styleId="FollowedHyperlink">
    <w:name w:val="FollowedHyperlink"/>
    <w:basedOn w:val="DefaultParagraphFont"/>
    <w:uiPriority w:val="99"/>
    <w:semiHidden/>
    <w:unhideWhenUsed/>
    <w:rsid w:val="002708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85368">
      <w:bodyDiv w:val="1"/>
      <w:marLeft w:val="0"/>
      <w:marRight w:val="0"/>
      <w:marTop w:val="0"/>
      <w:marBottom w:val="0"/>
      <w:divBdr>
        <w:top w:val="none" w:sz="0" w:space="0" w:color="auto"/>
        <w:left w:val="none" w:sz="0" w:space="0" w:color="auto"/>
        <w:bottom w:val="none" w:sz="0" w:space="0" w:color="auto"/>
        <w:right w:val="none" w:sz="0" w:space="0" w:color="auto"/>
      </w:divBdr>
    </w:div>
    <w:div w:id="757754139">
      <w:bodyDiv w:val="1"/>
      <w:marLeft w:val="0"/>
      <w:marRight w:val="0"/>
      <w:marTop w:val="0"/>
      <w:marBottom w:val="0"/>
      <w:divBdr>
        <w:top w:val="none" w:sz="0" w:space="0" w:color="auto"/>
        <w:left w:val="none" w:sz="0" w:space="0" w:color="auto"/>
        <w:bottom w:val="none" w:sz="0" w:space="0" w:color="auto"/>
        <w:right w:val="none" w:sz="0" w:space="0" w:color="auto"/>
      </w:divBdr>
    </w:div>
    <w:div w:id="1338995974">
      <w:bodyDiv w:val="1"/>
      <w:marLeft w:val="0"/>
      <w:marRight w:val="0"/>
      <w:marTop w:val="0"/>
      <w:marBottom w:val="0"/>
      <w:divBdr>
        <w:top w:val="none" w:sz="0" w:space="0" w:color="auto"/>
        <w:left w:val="none" w:sz="0" w:space="0" w:color="auto"/>
        <w:bottom w:val="none" w:sz="0" w:space="0" w:color="auto"/>
        <w:right w:val="none" w:sz="0" w:space="0" w:color="auto"/>
      </w:divBdr>
    </w:div>
    <w:div w:id="14252209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yperlink" Target="https://www.nhs.uk/conditions/social-care-and-support-guide/help-from-social-services-and-charities/someone-to-speak-up-for-you-advocate/" TargetMode="External" Id="rId13" /><Relationship Type="http://schemas.openxmlformats.org/officeDocument/2006/relationships/hyperlink" Target="https://www.england.nhs.uk/wp-content/uploads/2017/11/B2086-commissioning-policy-individual-funding-requests-v3.pdf" TargetMode="External" Id="rId18" /><Relationship Type="http://schemas.openxmlformats.org/officeDocument/2006/relationships/header" Target="header1.xml" Id="rId26" /><Relationship Type="http://schemas.openxmlformats.org/officeDocument/2006/relationships/customXml" Target="../customXml/item3.xml" Id="rId3" /><Relationship Type="http://schemas.openxmlformats.org/officeDocument/2006/relationships/hyperlink" Target="https://www.legislation.gov.uk/uksi/2004/1031/contents/made" TargetMode="External" Id="rId21" /><Relationship Type="http://schemas.openxmlformats.org/officeDocument/2006/relationships/settings" Target="settings.xml" Id="rId7" /><Relationship Type="http://schemas.openxmlformats.org/officeDocument/2006/relationships/hyperlink" Target="https://www.nhs.uk/using-the-nhs/healthcare-abroad/going-abroad-for-treatment/going-abroad-for-medical-treatment/" TargetMode="External" Id="rId12" /><Relationship Type="http://schemas.openxmlformats.org/officeDocument/2006/relationships/hyperlink" Target="https://www.gov.uk/government/publications/the-nhs-constitution-for-england/the-nhs-constitution-for-england" TargetMode="External" Id="rId17"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http://webarchive.nationalarchives.gov.uk/20130107105354/http:/www.dh.gov.uk/en/Publicationsandstatistics/Publications/PublicationsPolicyAndGuidance/DH_093413" TargetMode="External" Id="rId16" /><Relationship Type="http://schemas.openxmlformats.org/officeDocument/2006/relationships/hyperlink" Target="https://www.legislation.gov.uk/ukpga/2010/15/contents" TargetMode="External" Id="rId20" /><Relationship Type="http://schemas.openxmlformats.org/officeDocument/2006/relationships/footer" Target="footer2.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gov.uk/government/publications/the-nhs-constitution-for-england/thenhsconstitution-for-england" TargetMode="External" Id="rId24" /><Relationship Type="http://schemas.openxmlformats.org/officeDocument/2006/relationships/fontTable" Target="fontTable.xml" Id="rId32" /><Relationship Type="http://schemas.openxmlformats.org/officeDocument/2006/relationships/numbering" Target="numbering.xml" Id="rId5" /><Relationship Type="http://schemas.openxmlformats.org/officeDocument/2006/relationships/hyperlink" Target="http://webarchive.nationalarchives.gov.uk/20130107105354/http:/www.npc.nhs.uk/local_decision_making/constitution_handbook.php" TargetMode="External" Id="rId15" /><Relationship Type="http://schemas.openxmlformats.org/officeDocument/2006/relationships/footer" Target="footer1.xml" Id="rId28" /><Relationship Type="http://schemas.openxmlformats.org/officeDocument/2006/relationships/endnotes" Target="endnotes.xml" Id="rId10" /><Relationship Type="http://schemas.openxmlformats.org/officeDocument/2006/relationships/hyperlink" Target="https://www.england.nhs.uk/who-pays/" TargetMode="External" Id="rId19" /><Relationship Type="http://schemas.openxmlformats.org/officeDocument/2006/relationships/footer" Target="footer3.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nhsconfed.org/sites/default/files/2022-05/Priority-setting-funding-requests.pdf" TargetMode="External" Id="rId14" /><Relationship Type="http://schemas.openxmlformats.org/officeDocument/2006/relationships/hyperlink" Target="https://www.wma.net/policies-post/wma-declaration-of-helsinki-ethical-principles-for-medical-research-involving-human-subjects/" TargetMode="External" Id="rId22" /><Relationship Type="http://schemas.openxmlformats.org/officeDocument/2006/relationships/header" Target="header2.xml" Id="rId27" /><Relationship Type="http://schemas.openxmlformats.org/officeDocument/2006/relationships/header" Target="header3.xml" Id="rId30" /><Relationship Type="http://schemas.openxmlformats.org/officeDocument/2006/relationships/webSettings" Target="webSettings.xml" Id="rId8" /><Relationship Type="http://schemas.openxmlformats.org/officeDocument/2006/relationships/hyperlink" Target="https://www.england.nhs.uk/commissioning/spec-services/key-docs/" TargetMode="External" Id="R35c76b32ddcf4d62" /><Relationship Type="http://schemas.openxmlformats.org/officeDocument/2006/relationships/hyperlink" Target="https://www.gov.uk/government/publications/the-7-principles-of-public-life" TargetMode="External" Id="R0b003cb499a1417d" /><Relationship Type="http://schemas.openxmlformats.org/officeDocument/2006/relationships/hyperlink" Target="https://www.cqc.org.uk/what-we-do/how-we-do-our-job/fundamental-standard" TargetMode="External" Id="R3a80095818e24b15" /></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EC868CBB3BFA4BAE1F74CB15A35D3F" ma:contentTypeVersion="12" ma:contentTypeDescription="Create a new document." ma:contentTypeScope="" ma:versionID="8a3ef33b46deaa9c2d0b3d5414d61536">
  <xsd:schema xmlns:xsd="http://www.w3.org/2001/XMLSchema" xmlns:xs="http://www.w3.org/2001/XMLSchema" xmlns:p="http://schemas.microsoft.com/office/2006/metadata/properties" xmlns:ns1="http://schemas.microsoft.com/sharepoint/v3" xmlns:ns2="0bfcdb31-8955-43f8-a502-06edcedec8ec" targetNamespace="http://schemas.microsoft.com/office/2006/metadata/properties" ma:root="true" ma:fieldsID="f49f5d65f4a4bc644d9f5d187341d6c8" ns1:_="" ns2:_="">
    <xsd:import namespace="http://schemas.microsoft.com/sharepoint/v3"/>
    <xsd:import namespace="0bfcdb31-8955-43f8-a502-06edcedec8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fcdb31-8955-43f8-a502-06edcedec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bfcdb31-8955-43f8-a502-06edcedec8e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63CBA5-80DB-4174-AD9D-5D6013C9E69D}"/>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65FA86FB-4535-43F9-875C-0E0C6AEC9B7B}">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68A615E-8C32-40D8-BF44-BDA94183FC67}">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OLIVER, Jo (NHS CENTRAL EAST ICB - 06K)</cp:lastModifiedBy>
  <cp:revision>5</cp:revision>
  <dcterms:created xsi:type="dcterms:W3CDTF">2026-04-13T08:18:00Z</dcterms:created>
  <dcterms:modified xsi:type="dcterms:W3CDTF">2026-05-05T08:43:08Z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0x010100A2EC868CBB3BFA4BAE1F74CB15A35D3F</vt:lpwstr>
  </property>
  <property fmtid="{D5CDD505-2E9C-101B-9397-08002B2CF9AE}" pid="3" name="MediaServiceImageTags">
    <vt:lpwstr/>
  </property>
</Properties>
</file>